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E2E3">
      <w:pPr>
        <w:jc w:val="center"/>
        <w:rPr>
          <w:rFonts w:ascii="仿宋" w:hAnsi="仿宋" w:eastAsia="仿宋" w:cs="仿宋"/>
          <w:b/>
          <w:bCs/>
          <w:sz w:val="44"/>
          <w:szCs w:val="44"/>
        </w:rPr>
      </w:pPr>
      <w:r>
        <w:rPr>
          <w:rFonts w:hint="eastAsia" w:ascii="仿宋" w:hAnsi="仿宋" w:eastAsia="仿宋" w:cs="仿宋"/>
          <w:b/>
          <w:bCs/>
          <w:sz w:val="44"/>
          <w:szCs w:val="44"/>
        </w:rPr>
        <w:t>重庆望变电气（集团）股份有限公司</w:t>
      </w:r>
    </w:p>
    <w:p w14:paraId="57BA5B0B">
      <w:pPr>
        <w:jc w:val="center"/>
        <w:rPr>
          <w:rFonts w:ascii="仿宋" w:hAnsi="仿宋" w:eastAsia="仿宋" w:cs="仿宋"/>
          <w:b/>
          <w:bCs/>
          <w:sz w:val="44"/>
          <w:szCs w:val="44"/>
        </w:rPr>
      </w:pPr>
      <w:r>
        <w:rPr>
          <w:rFonts w:hint="eastAsia" w:ascii="仿宋" w:hAnsi="仿宋" w:eastAsia="仿宋" w:cs="仿宋"/>
          <w:b/>
          <w:bCs/>
          <w:sz w:val="44"/>
          <w:szCs w:val="44"/>
        </w:rPr>
        <w:t>2024年度董事会工作报告</w:t>
      </w:r>
    </w:p>
    <w:p w14:paraId="338B1973">
      <w:pPr>
        <w:rPr>
          <w:rFonts w:ascii="仿宋" w:hAnsi="仿宋" w:eastAsia="仿宋" w:cs="仿宋"/>
          <w:sz w:val="32"/>
          <w:szCs w:val="32"/>
        </w:rPr>
      </w:pPr>
    </w:p>
    <w:p w14:paraId="7298664A">
      <w:pPr>
        <w:ind w:firstLine="640" w:firstLineChars="200"/>
        <w:rPr>
          <w:rFonts w:ascii="仿宋" w:hAnsi="仿宋" w:eastAsia="仿宋" w:cs="仿宋"/>
          <w:sz w:val="32"/>
          <w:szCs w:val="32"/>
        </w:rPr>
      </w:pPr>
      <w:r>
        <w:rPr>
          <w:rFonts w:hint="eastAsia" w:ascii="仿宋" w:hAnsi="仿宋" w:eastAsia="仿宋" w:cs="仿宋"/>
          <w:sz w:val="32"/>
          <w:szCs w:val="32"/>
        </w:rPr>
        <w:t>重庆望变电气（集团）股份有限公司（以下简称“公司”）董事会严格遵守《中华人民共和国公司法》（以下简称“《公司法》”）《中华人民共和国证券法》（以下简称“《证券法》”）《上海证券交易所股票上市规则》（以下简称“《上市规则》）”及《重庆望变电气（集团）股份有限公司章程》（以下简称“《公司章程》”）等有关规定，本着对公司和全体股东负责的态度，切实履行《公司章程》赋予的各项职责，严格执行股东大会各项决议，认真推进会议各项决议的有效实施，促进公司规范运作，保障公司科学决策，推动各项业务顺利有序开展，使公司保持良好的发展态势，现将2024年度董事会工作汇报如下：</w:t>
      </w:r>
    </w:p>
    <w:p w14:paraId="07D55C11">
      <w:pPr>
        <w:jc w:val="center"/>
        <w:rPr>
          <w:rFonts w:ascii="仿宋" w:hAnsi="仿宋" w:eastAsia="仿宋" w:cs="仿宋"/>
          <w:b/>
          <w:bCs/>
          <w:sz w:val="32"/>
          <w:szCs w:val="32"/>
        </w:rPr>
      </w:pPr>
      <w:r>
        <w:rPr>
          <w:rFonts w:hint="eastAsia" w:ascii="仿宋" w:hAnsi="仿宋" w:eastAsia="仿宋" w:cs="仿宋"/>
          <w:b/>
          <w:bCs/>
          <w:sz w:val="32"/>
          <w:szCs w:val="32"/>
        </w:rPr>
        <w:t>第一部分 2024年工作情况回顾</w:t>
      </w:r>
    </w:p>
    <w:p w14:paraId="4EC7CCC2">
      <w:pPr>
        <w:ind w:firstLine="643" w:firstLineChars="200"/>
        <w:rPr>
          <w:rFonts w:ascii="仿宋" w:hAnsi="仿宋" w:eastAsia="仿宋" w:cs="仿宋"/>
          <w:b/>
          <w:bCs/>
          <w:sz w:val="32"/>
          <w:szCs w:val="32"/>
        </w:rPr>
      </w:pPr>
      <w:r>
        <w:rPr>
          <w:rFonts w:hint="eastAsia" w:ascii="仿宋" w:hAnsi="仿宋" w:eastAsia="仿宋" w:cs="仿宋"/>
          <w:b/>
          <w:bCs/>
          <w:sz w:val="32"/>
          <w:szCs w:val="32"/>
        </w:rPr>
        <w:t>一、公司主要经营业绩</w:t>
      </w:r>
    </w:p>
    <w:p w14:paraId="490293D2">
      <w:pPr>
        <w:ind w:firstLine="640" w:firstLineChars="200"/>
        <w:rPr>
          <w:rFonts w:ascii="仿宋" w:hAnsi="仿宋" w:eastAsia="仿宋" w:cs="仿宋"/>
          <w:b/>
          <w:bCs/>
          <w:sz w:val="32"/>
          <w:szCs w:val="32"/>
        </w:rPr>
      </w:pPr>
      <w:r>
        <w:rPr>
          <w:rFonts w:hint="eastAsia" w:ascii="仿宋" w:hAnsi="仿宋" w:eastAsia="仿宋" w:cs="仿宋"/>
          <w:sz w:val="32"/>
          <w:szCs w:val="32"/>
        </w:rPr>
        <w:t>2024年，时值公司成立三十周年之际，公司在经营发展过程中遭遇多重严峻挑战。面对宏观经济影响、市场结构化调整趋势凸显、客户需求日益多元且复杂、同行竞争不断升级的局面；公司自身又处于关键发展节点，经营管理能力虽持续提升，但各项目产能爬坡过坎仍需付出艰苦努力的双重复杂严峻形势下。公司始终保持战略定力，紧密围绕市场开拓、技术创新、项目建设、经营管理等中心工作，科学谋划、精准施策。全体员工秉持高度的责任感与使命感，团结一心、奋发作为，以坚定实干的精神和顽强拼搏的毅力，为公司发展注入源源不断的动力，有力推动公司高质量发展，共同就公司未来的宏伟蓝图添砖加瓦。</w:t>
      </w:r>
    </w:p>
    <w:p w14:paraId="5FF49F16">
      <w:pPr>
        <w:ind w:firstLine="643" w:firstLineChars="200"/>
        <w:rPr>
          <w:rFonts w:ascii="仿宋" w:hAnsi="仿宋" w:eastAsia="仿宋" w:cs="仿宋"/>
          <w:b/>
          <w:bCs/>
          <w:sz w:val="32"/>
          <w:szCs w:val="32"/>
        </w:rPr>
      </w:pPr>
      <w:r>
        <w:rPr>
          <w:rFonts w:hint="eastAsia" w:ascii="仿宋" w:hAnsi="仿宋" w:eastAsia="仿宋" w:cs="仿宋"/>
          <w:b/>
          <w:bCs/>
          <w:sz w:val="32"/>
          <w:szCs w:val="32"/>
        </w:rPr>
        <w:t>二、经营层管理层分析</w:t>
      </w:r>
    </w:p>
    <w:p w14:paraId="7F830241">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2024年，尽管全球经济复苏曲折、市场竞争加剧以及内部产能爬坡压力，公司仍展现出较强的经营韧性，在战略转型和产业升级方面取得显著进展。</w:t>
      </w:r>
    </w:p>
    <w:p w14:paraId="353D1E51">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核心指标全面达标</w:t>
      </w:r>
      <w:r>
        <w:rPr>
          <w:rFonts w:hint="eastAsia" w:ascii="仿宋" w:hAnsi="仿宋" w:eastAsia="仿宋" w:cs="Times New Roman"/>
          <w:sz w:val="32"/>
          <w:szCs w:val="32"/>
        </w:rPr>
        <w:t>：除净利润受外部环境影响未达预期外，营业收入、产能利用率、项目建设进度等关键生产经营指标均按计划完成。</w:t>
      </w:r>
    </w:p>
    <w:p w14:paraId="10E56446">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产业升级初显成效</w:t>
      </w:r>
      <w:r>
        <w:rPr>
          <w:rFonts w:hint="eastAsia" w:ascii="仿宋" w:hAnsi="仿宋" w:eastAsia="仿宋" w:cs="Times New Roman"/>
          <w:sz w:val="32"/>
          <w:szCs w:val="32"/>
        </w:rPr>
        <w:t>：通过技术提档升级（如高牌号取向硅钢研发、智能电网设备布局），推动产品结构向高附加值领域转型，市场竞争力持续提升。</w:t>
      </w:r>
    </w:p>
    <w:p w14:paraId="2293F71C">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战略基础持续夯实</w:t>
      </w:r>
      <w:r>
        <w:rPr>
          <w:rFonts w:hint="eastAsia" w:ascii="仿宋" w:hAnsi="仿宋" w:eastAsia="仿宋" w:cs="Times New Roman"/>
          <w:sz w:val="32"/>
          <w:szCs w:val="32"/>
        </w:rPr>
        <w:t>：在建项目如期交付，产能爬坡虽艰难但完成计划，支撑"双百"目标基础持续夯实。</w:t>
      </w:r>
    </w:p>
    <w:p w14:paraId="1E07F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（一）主要财务表现</w:t>
      </w:r>
    </w:p>
    <w:p w14:paraId="32BB55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2024年实现营业总收入33.52亿元，同比增长23.32%;实现营业利润1.10亿元，同比下降60.12%；实现净利润7,536.25万元，同比下降67.52%；归属于公司普通股股东的净利润6,516.65万元，同比下降72.22%。</w:t>
      </w:r>
    </w:p>
    <w:p w14:paraId="57CC3FBB">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报告期内，公司主营业务收入按产品划分的情况如下</w:t>
      </w:r>
    </w:p>
    <w:p w14:paraId="7B079F24">
      <w:pPr>
        <w:spacing w:line="560" w:lineRule="exact"/>
        <w:ind w:firstLine="640" w:firstLineChars="200"/>
        <w:rPr>
          <w:rFonts w:hint="eastAsia" w:ascii="仿宋" w:hAnsi="仿宋" w:eastAsia="仿宋" w:cs="Times New Roman"/>
          <w:sz w:val="32"/>
          <w:szCs w:val="32"/>
        </w:rPr>
      </w:pPr>
    </w:p>
    <w:p w14:paraId="51B5CB2A">
      <w:pPr>
        <w:widowControl w:val="0"/>
        <w:spacing w:line="360" w:lineRule="exact"/>
      </w:pPr>
      <w:r>
        <w:rPr>
          <w:rFonts w:hint="eastAsia"/>
        </w:rPr>
        <w:drawing>
          <wp:anchor distT="0" distB="0" distL="114300" distR="114300" simplePos="0" relativeHeight="251659264" behindDoc="0" locked="0" layoutInCell="1" allowOverlap="1">
            <wp:simplePos x="0" y="0"/>
            <wp:positionH relativeFrom="margin">
              <wp:posOffset>262255</wp:posOffset>
            </wp:positionH>
            <wp:positionV relativeFrom="paragraph">
              <wp:posOffset>117475</wp:posOffset>
            </wp:positionV>
            <wp:extent cx="5076190" cy="2376805"/>
            <wp:effectExtent l="0" t="0" r="1397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76190" cy="2376805"/>
                    </a:xfrm>
                    <a:prstGeom prst="rect">
                      <a:avLst/>
                    </a:prstGeom>
                    <a:noFill/>
                  </pic:spPr>
                </pic:pic>
              </a:graphicData>
            </a:graphic>
          </wp:anchor>
        </w:drawing>
      </w:r>
      <w:r>
        <w:rPr>
          <w:rFonts w:hint="eastAsia"/>
        </w:rPr>
        <w:t xml:space="preserve">    </w:t>
      </w:r>
    </w:p>
    <w:p w14:paraId="463FE91E">
      <w:pPr>
        <w:widowControl w:val="0"/>
        <w:spacing w:line="360" w:lineRule="exact"/>
      </w:pPr>
    </w:p>
    <w:p w14:paraId="1CDEFC17">
      <w:pPr>
        <w:widowControl w:val="0"/>
        <w:spacing w:line="360" w:lineRule="exact"/>
      </w:pPr>
    </w:p>
    <w:p w14:paraId="3179D02E">
      <w:pPr>
        <w:widowControl w:val="0"/>
        <w:spacing w:line="360" w:lineRule="exact"/>
      </w:pPr>
    </w:p>
    <w:p w14:paraId="293435AD">
      <w:pPr>
        <w:widowControl w:val="0"/>
        <w:spacing w:line="360" w:lineRule="exact"/>
      </w:pPr>
    </w:p>
    <w:p w14:paraId="52FBF3D4">
      <w:pPr>
        <w:widowControl w:val="0"/>
        <w:spacing w:line="360" w:lineRule="exact"/>
      </w:pPr>
    </w:p>
    <w:p w14:paraId="26C5FEE2">
      <w:pPr>
        <w:widowControl w:val="0"/>
        <w:spacing w:line="360" w:lineRule="exact"/>
      </w:pPr>
    </w:p>
    <w:p w14:paraId="14CFE90A">
      <w:pPr>
        <w:widowControl w:val="0"/>
        <w:spacing w:line="360" w:lineRule="exact"/>
      </w:pPr>
    </w:p>
    <w:p w14:paraId="072BDC4F">
      <w:pPr>
        <w:widowControl w:val="0"/>
        <w:spacing w:line="360" w:lineRule="exact"/>
        <w:ind w:firstLine="420" w:firstLineChars="200"/>
      </w:pPr>
    </w:p>
    <w:p w14:paraId="38AF749A">
      <w:pPr>
        <w:widowControl w:val="0"/>
        <w:spacing w:line="360" w:lineRule="exact"/>
      </w:pPr>
    </w:p>
    <w:p w14:paraId="3E1910BC">
      <w:pPr>
        <w:widowControl w:val="0"/>
        <w:spacing w:line="360" w:lineRule="exact"/>
        <w:ind w:firstLine="420" w:firstLineChars="200"/>
        <w:outlineLvl w:val="9"/>
      </w:pPr>
    </w:p>
    <w:p w14:paraId="62A3DF80">
      <w:pPr>
        <w:widowControl w:val="0"/>
        <w:spacing w:line="360" w:lineRule="exact"/>
        <w:ind w:firstLine="420" w:firstLineChars="200"/>
        <w:outlineLvl w:val="9"/>
      </w:pPr>
    </w:p>
    <w:p w14:paraId="43C21E39">
      <w:pPr>
        <w:widowControl w:val="0"/>
        <w:spacing w:line="360" w:lineRule="exact"/>
        <w:ind w:firstLine="420" w:firstLineChars="200"/>
        <w:outlineLvl w:val="9"/>
      </w:pPr>
    </w:p>
    <w:p w14:paraId="090E39B1">
      <w:pPr>
        <w:widowControl w:val="0"/>
        <w:spacing w:line="36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2、报告期内，公司主营业务同期对比情况如下：</w:t>
      </w:r>
    </w:p>
    <w:p w14:paraId="01C7EBA2">
      <w:pPr>
        <w:widowControl w:val="0"/>
        <w:spacing w:line="360" w:lineRule="exact"/>
      </w:pPr>
      <w:r>
        <w:rPr>
          <w:rFonts w:hint="eastAsia"/>
        </w:rPr>
        <w:drawing>
          <wp:anchor distT="0" distB="0" distL="114300" distR="114300" simplePos="0" relativeHeight="251660288" behindDoc="0" locked="0" layoutInCell="1" allowOverlap="1">
            <wp:simplePos x="0" y="0"/>
            <wp:positionH relativeFrom="margin">
              <wp:posOffset>216535</wp:posOffset>
            </wp:positionH>
            <wp:positionV relativeFrom="paragraph">
              <wp:posOffset>6350</wp:posOffset>
            </wp:positionV>
            <wp:extent cx="5156200" cy="2775585"/>
            <wp:effectExtent l="0" t="0" r="10160"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56200" cy="2775585"/>
                    </a:xfrm>
                    <a:prstGeom prst="rect">
                      <a:avLst/>
                    </a:prstGeom>
                    <a:noFill/>
                  </pic:spPr>
                </pic:pic>
              </a:graphicData>
            </a:graphic>
          </wp:anchor>
        </w:drawing>
      </w:r>
      <w:r>
        <w:rPr>
          <w:rFonts w:hint="eastAsia"/>
        </w:rPr>
        <w:t xml:space="preserve">    </w:t>
      </w:r>
    </w:p>
    <w:p w14:paraId="6DA75F65">
      <w:pPr>
        <w:widowControl w:val="0"/>
        <w:spacing w:line="360" w:lineRule="exact"/>
        <w:ind w:firstLine="422" w:firstLineChars="200"/>
        <w:rPr>
          <w:b/>
        </w:rPr>
      </w:pPr>
    </w:p>
    <w:p w14:paraId="490392B7">
      <w:pPr>
        <w:widowControl w:val="0"/>
        <w:spacing w:line="360" w:lineRule="exact"/>
        <w:ind w:firstLine="422" w:firstLineChars="200"/>
        <w:rPr>
          <w:b/>
        </w:rPr>
      </w:pPr>
    </w:p>
    <w:p w14:paraId="29204BFA">
      <w:pPr>
        <w:widowControl w:val="0"/>
        <w:spacing w:line="360" w:lineRule="exact"/>
        <w:ind w:firstLine="422" w:firstLineChars="200"/>
        <w:rPr>
          <w:b/>
        </w:rPr>
      </w:pPr>
    </w:p>
    <w:p w14:paraId="570F72F6">
      <w:pPr>
        <w:widowControl w:val="0"/>
        <w:spacing w:line="360" w:lineRule="exact"/>
        <w:ind w:firstLine="422" w:firstLineChars="200"/>
        <w:rPr>
          <w:b/>
        </w:rPr>
      </w:pPr>
    </w:p>
    <w:p w14:paraId="06BA299A">
      <w:pPr>
        <w:widowControl w:val="0"/>
        <w:spacing w:line="360" w:lineRule="exact"/>
        <w:ind w:firstLine="422" w:firstLineChars="200"/>
        <w:rPr>
          <w:b/>
        </w:rPr>
      </w:pPr>
    </w:p>
    <w:p w14:paraId="2EDAB171">
      <w:pPr>
        <w:widowControl w:val="0"/>
        <w:spacing w:line="360" w:lineRule="exact"/>
        <w:ind w:firstLine="422" w:firstLineChars="200"/>
        <w:rPr>
          <w:b/>
        </w:rPr>
      </w:pPr>
    </w:p>
    <w:p w14:paraId="16D6143F">
      <w:pPr>
        <w:widowControl w:val="0"/>
        <w:spacing w:line="360" w:lineRule="exact"/>
        <w:ind w:firstLine="422" w:firstLineChars="200"/>
        <w:rPr>
          <w:b/>
        </w:rPr>
      </w:pPr>
    </w:p>
    <w:p w14:paraId="2DD36059">
      <w:pPr>
        <w:widowControl w:val="0"/>
        <w:spacing w:line="360" w:lineRule="exact"/>
        <w:ind w:firstLine="422" w:firstLineChars="200"/>
        <w:rPr>
          <w:b/>
        </w:rPr>
      </w:pPr>
    </w:p>
    <w:p w14:paraId="2123F74C">
      <w:pPr>
        <w:widowControl w:val="0"/>
        <w:spacing w:line="360" w:lineRule="exact"/>
        <w:ind w:firstLine="422" w:firstLineChars="200"/>
        <w:rPr>
          <w:b/>
        </w:rPr>
      </w:pPr>
    </w:p>
    <w:p w14:paraId="7BD2E497">
      <w:pPr>
        <w:widowControl w:val="0"/>
        <w:spacing w:line="360" w:lineRule="exact"/>
        <w:rPr>
          <w:b/>
        </w:rPr>
      </w:pPr>
    </w:p>
    <w:p w14:paraId="649867B8">
      <w:pPr>
        <w:widowControl w:val="0"/>
        <w:spacing w:line="360" w:lineRule="exact"/>
        <w:rPr>
          <w:b/>
        </w:rPr>
      </w:pPr>
    </w:p>
    <w:p w14:paraId="45CFE937">
      <w:pPr>
        <w:widowControl w:val="0"/>
        <w:spacing w:line="360" w:lineRule="exact"/>
        <w:rPr>
          <w:b/>
        </w:rPr>
      </w:pPr>
    </w:p>
    <w:p w14:paraId="5432C7FC">
      <w:pPr>
        <w:widowControl w:val="0"/>
        <w:spacing w:line="360" w:lineRule="exact"/>
        <w:rPr>
          <w:b/>
        </w:rPr>
      </w:pPr>
    </w:p>
    <w:p w14:paraId="53BA5C51">
      <w:pPr>
        <w:widowControl w:val="0"/>
        <w:spacing w:line="360" w:lineRule="exact"/>
        <w:ind w:firstLine="640" w:firstLineChars="200"/>
        <w:outlineLvl w:val="9"/>
        <w:rPr>
          <w:rFonts w:hint="eastAsia" w:ascii="仿宋" w:hAnsi="仿宋" w:eastAsia="仿宋" w:cs="仿宋"/>
          <w:sz w:val="32"/>
          <w:szCs w:val="32"/>
        </w:rPr>
      </w:pPr>
    </w:p>
    <w:p w14:paraId="623CDFEA">
      <w:pPr>
        <w:widowControl w:val="0"/>
        <w:spacing w:line="360" w:lineRule="exact"/>
        <w:ind w:firstLine="640" w:firstLineChars="200"/>
        <w:outlineLvl w:val="9"/>
        <w:rPr>
          <w:rFonts w:hint="eastAsia" w:ascii="仿宋" w:hAnsi="仿宋" w:eastAsia="仿宋" w:cs="仿宋"/>
          <w:sz w:val="32"/>
          <w:szCs w:val="32"/>
        </w:rPr>
      </w:pPr>
    </w:p>
    <w:p w14:paraId="12F357B9">
      <w:pPr>
        <w:widowControl w:val="0"/>
        <w:spacing w:line="360" w:lineRule="exact"/>
        <w:ind w:firstLine="640" w:firstLineChars="200"/>
        <w:outlineLvl w:val="9"/>
        <w:rPr>
          <w:rFonts w:hint="eastAsia" w:ascii="仿宋" w:hAnsi="仿宋" w:eastAsia="仿宋" w:cs="仿宋"/>
          <w:sz w:val="32"/>
          <w:szCs w:val="32"/>
        </w:rPr>
      </w:pPr>
    </w:p>
    <w:p w14:paraId="6386A268">
      <w:pPr>
        <w:widowControl w:val="0"/>
        <w:spacing w:line="360" w:lineRule="exact"/>
        <w:ind w:firstLine="640" w:firstLineChars="200"/>
        <w:outlineLvl w:val="9"/>
        <w:rPr>
          <w:rFonts w:hint="eastAsia" w:ascii="仿宋" w:hAnsi="仿宋" w:eastAsia="仿宋" w:cs="仿宋"/>
          <w:sz w:val="32"/>
          <w:szCs w:val="32"/>
        </w:rPr>
      </w:pPr>
    </w:p>
    <w:p w14:paraId="3B2EE2B1">
      <w:pPr>
        <w:widowControl w:val="0"/>
        <w:spacing w:line="36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3、报告期内，公司毛利额贡献情况如下</w:t>
      </w:r>
    </w:p>
    <w:p w14:paraId="10BB7978">
      <w:pPr>
        <w:widowControl w:val="0"/>
        <w:spacing w:line="360" w:lineRule="exact"/>
        <w:ind w:firstLine="420" w:firstLineChars="200"/>
        <w:rPr>
          <w:b/>
        </w:rPr>
      </w:pPr>
      <w:r>
        <w:rPr>
          <w:rFonts w:hint="eastAsia"/>
        </w:rPr>
        <w:drawing>
          <wp:anchor distT="0" distB="0" distL="114300" distR="114300" simplePos="0" relativeHeight="251661312" behindDoc="0" locked="0" layoutInCell="1" allowOverlap="1">
            <wp:simplePos x="0" y="0"/>
            <wp:positionH relativeFrom="margin">
              <wp:posOffset>280035</wp:posOffset>
            </wp:positionH>
            <wp:positionV relativeFrom="paragraph">
              <wp:posOffset>45720</wp:posOffset>
            </wp:positionV>
            <wp:extent cx="5200650" cy="2669540"/>
            <wp:effectExtent l="0" t="0" r="11430"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00650" cy="2669394"/>
                    </a:xfrm>
                    <a:prstGeom prst="rect">
                      <a:avLst/>
                    </a:prstGeom>
                    <a:noFill/>
                  </pic:spPr>
                </pic:pic>
              </a:graphicData>
            </a:graphic>
          </wp:anchor>
        </w:drawing>
      </w:r>
    </w:p>
    <w:p w14:paraId="032FA9EB">
      <w:pPr>
        <w:widowControl w:val="0"/>
        <w:spacing w:line="360" w:lineRule="exact"/>
        <w:ind w:firstLine="422" w:firstLineChars="200"/>
        <w:rPr>
          <w:b/>
        </w:rPr>
      </w:pPr>
    </w:p>
    <w:p w14:paraId="56964E1F">
      <w:pPr>
        <w:widowControl w:val="0"/>
        <w:spacing w:line="360" w:lineRule="exact"/>
        <w:ind w:firstLine="422" w:firstLineChars="200"/>
        <w:rPr>
          <w:b/>
        </w:rPr>
      </w:pPr>
    </w:p>
    <w:p w14:paraId="5F3FEC7B">
      <w:pPr>
        <w:widowControl w:val="0"/>
        <w:spacing w:line="360" w:lineRule="exact"/>
        <w:ind w:firstLine="422" w:firstLineChars="200"/>
        <w:rPr>
          <w:b/>
        </w:rPr>
      </w:pPr>
    </w:p>
    <w:p w14:paraId="326006C6">
      <w:pPr>
        <w:widowControl w:val="0"/>
        <w:spacing w:line="360" w:lineRule="exact"/>
        <w:ind w:firstLine="422" w:firstLineChars="200"/>
        <w:rPr>
          <w:b/>
        </w:rPr>
      </w:pPr>
    </w:p>
    <w:p w14:paraId="28F09679">
      <w:pPr>
        <w:widowControl w:val="0"/>
        <w:spacing w:line="360" w:lineRule="exact"/>
        <w:ind w:firstLine="422" w:firstLineChars="200"/>
        <w:rPr>
          <w:b/>
        </w:rPr>
      </w:pPr>
    </w:p>
    <w:p w14:paraId="30C970CE">
      <w:pPr>
        <w:widowControl w:val="0"/>
        <w:spacing w:line="360" w:lineRule="exact"/>
        <w:ind w:firstLine="422" w:firstLineChars="200"/>
        <w:rPr>
          <w:b/>
        </w:rPr>
      </w:pPr>
    </w:p>
    <w:p w14:paraId="3AF9684D">
      <w:pPr>
        <w:widowControl w:val="0"/>
        <w:spacing w:line="360" w:lineRule="exact"/>
        <w:rPr>
          <w:b/>
        </w:rPr>
      </w:pPr>
    </w:p>
    <w:p w14:paraId="0D23272B">
      <w:pPr>
        <w:widowControl w:val="0"/>
        <w:spacing w:line="360" w:lineRule="exact"/>
        <w:rPr>
          <w:b/>
        </w:rPr>
      </w:pPr>
    </w:p>
    <w:p w14:paraId="18A26441">
      <w:pPr>
        <w:widowControl w:val="0"/>
        <w:spacing w:line="360" w:lineRule="exact"/>
        <w:rPr>
          <w:b/>
        </w:rPr>
      </w:pPr>
    </w:p>
    <w:p w14:paraId="28ECDDF8">
      <w:pPr>
        <w:widowControl w:val="0"/>
        <w:spacing w:line="360" w:lineRule="exact"/>
        <w:rPr>
          <w:b/>
        </w:rPr>
      </w:pPr>
    </w:p>
    <w:p w14:paraId="220C2A18">
      <w:pPr>
        <w:widowControl w:val="0"/>
        <w:spacing w:line="360" w:lineRule="exact"/>
        <w:rPr>
          <w:b/>
        </w:rPr>
      </w:pPr>
    </w:p>
    <w:p w14:paraId="47B79A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 w:hAnsi="仿宋" w:eastAsia="仿宋" w:cs="仿宋"/>
          <w:sz w:val="32"/>
          <w:szCs w:val="32"/>
        </w:rPr>
      </w:pPr>
      <w:r>
        <w:rPr>
          <w:rFonts w:hint="eastAsia" w:ascii="仿宋" w:hAnsi="仿宋" w:eastAsia="仿宋" w:cs="仿宋"/>
          <w:b/>
          <w:sz w:val="32"/>
          <w:szCs w:val="32"/>
        </w:rPr>
        <w:t>（二）公司输配电及控制设备电压等级向“上”跃进，助推产品高质量发展</w:t>
      </w:r>
    </w:p>
    <w:p w14:paraId="69B410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公司通过技术升级+市场精细化运营，实现了“技术-产能-市场”三位一体升级，补全了高</w:t>
      </w:r>
    </w:p>
    <w:p w14:paraId="3BE4C5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电压等级产品链，同时通过铁路牵引变细分领域构筑差异化竞争力，将规模优势转化为持续盈利能力，支撑公司“双百”目标实现。</w:t>
      </w:r>
    </w:p>
    <w:p w14:paraId="528C1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输配电及控制设备实现营业总收入19.33亿元，同比增加42.84%；其中云变电气贡献6.96亿元营业收入，是本年输配电及控制设备营业收入增长的主要来源；除云变电气外，公司输配电及控制设备业务本年因部分项目交付，产能逐步爬坡导致营业收入同比减少1.16亿元。</w:t>
      </w:r>
    </w:p>
    <w:p w14:paraId="62F12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sz w:val="32"/>
          <w:szCs w:val="32"/>
        </w:rPr>
      </w:pPr>
      <w:r>
        <w:rPr>
          <w:rFonts w:hint="eastAsia" w:ascii="仿宋" w:hAnsi="仿宋" w:eastAsia="仿宋" w:cs="仿宋"/>
          <w:sz w:val="32"/>
          <w:szCs w:val="32"/>
        </w:rPr>
        <w:t>1、电力变压器电压等级从110kV跃升至500kV，实现供应能力向“上”跃升</w:t>
      </w:r>
    </w:p>
    <w:p w14:paraId="5902B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公司通过成功收购云变电气79.97%股权，战略性切入220kV及以上高端电力变压器市场，并依托近90年技术积淀和铁路牵引变领先优势，显著提升公司在输配电设备领域的研发能力、产品档次及市场竞争力，为“百亿营收”目标提供强劲支撑。</w:t>
      </w:r>
    </w:p>
    <w:p w14:paraId="57B72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sz w:val="32"/>
          <w:szCs w:val="32"/>
        </w:rPr>
      </w:pPr>
      <w:r>
        <w:rPr>
          <w:rFonts w:hint="eastAsia" w:ascii="仿宋" w:hAnsi="仿宋" w:eastAsia="仿宋" w:cs="仿宋"/>
          <w:sz w:val="32"/>
          <w:szCs w:val="32"/>
        </w:rPr>
        <w:t>2、并购整合初显成效，2024年输配电及控制设备业务实现产销双增长</w:t>
      </w:r>
    </w:p>
    <w:p w14:paraId="280A6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公司通过并购云变电气及内部资源整合，推动输配电及控制设备业务规模快速扩张，电力变压器、箱式变电站等核心产品实现产量与销量大幅增长，同时产品结构持续优化，高端化、定制化能力进一步增强，为营收增长奠定坚实基础。</w:t>
      </w:r>
    </w:p>
    <w:p w14:paraId="32146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pPr>
      <w:r>
        <w:rPr>
          <w:rFonts w:hint="eastAsia" w:ascii="仿宋" w:hAnsi="仿宋" w:eastAsia="仿宋" w:cs="仿宋"/>
          <w:sz w:val="32"/>
          <w:szCs w:val="32"/>
        </w:rPr>
        <w:t>（1） 核心产品产销高速增长，规模效应显现</w:t>
      </w:r>
    </w:p>
    <w:tbl>
      <w:tblPr>
        <w:tblStyle w:val="9"/>
        <w:tblW w:w="5000" w:type="pct"/>
        <w:jc w:val="center"/>
        <w:tblLayout w:type="autofit"/>
        <w:tblCellMar>
          <w:top w:w="0" w:type="dxa"/>
          <w:left w:w="108" w:type="dxa"/>
          <w:bottom w:w="0" w:type="dxa"/>
          <w:right w:w="108" w:type="dxa"/>
        </w:tblCellMar>
      </w:tblPr>
      <w:tblGrid>
        <w:gridCol w:w="1476"/>
        <w:gridCol w:w="1595"/>
        <w:gridCol w:w="1452"/>
        <w:gridCol w:w="1459"/>
        <w:gridCol w:w="1541"/>
        <w:gridCol w:w="1538"/>
      </w:tblGrid>
      <w:tr w14:paraId="0FD16500">
        <w:tblPrEx>
          <w:tblCellMar>
            <w:top w:w="0" w:type="dxa"/>
            <w:left w:w="108" w:type="dxa"/>
            <w:bottom w:w="0" w:type="dxa"/>
            <w:right w:w="108" w:type="dxa"/>
          </w:tblCellMar>
        </w:tblPrEx>
        <w:trPr>
          <w:trHeight w:val="397" w:hRule="atLeast"/>
          <w:jc w:val="center"/>
        </w:trPr>
        <w:tc>
          <w:tcPr>
            <w:tcW w:w="801" w:type="pct"/>
            <w:tcBorders>
              <w:top w:val="single" w:color="000000" w:sz="4" w:space="0"/>
              <w:left w:val="single" w:color="000000" w:sz="4" w:space="0"/>
              <w:bottom w:val="single" w:color="000000" w:sz="4" w:space="0"/>
              <w:right w:val="single" w:color="000000" w:sz="4" w:space="0"/>
            </w:tcBorders>
            <w:noWrap/>
            <w:vAlign w:val="center"/>
          </w:tcPr>
          <w:p w14:paraId="53590A02">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产品类别</w:t>
            </w:r>
          </w:p>
        </w:tc>
        <w:tc>
          <w:tcPr>
            <w:tcW w:w="883" w:type="pct"/>
            <w:tcBorders>
              <w:top w:val="single" w:color="000000" w:sz="4" w:space="0"/>
              <w:left w:val="single" w:color="000000" w:sz="4" w:space="0"/>
              <w:bottom w:val="single" w:color="000000" w:sz="4" w:space="0"/>
              <w:right w:val="single" w:color="000000" w:sz="4" w:space="0"/>
            </w:tcBorders>
            <w:noWrap/>
            <w:vAlign w:val="center"/>
          </w:tcPr>
          <w:p w14:paraId="19E1CA5E">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计量单位</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6C5E7BCA">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2024年</w:t>
            </w:r>
          </w:p>
          <w:p w14:paraId="061D313F">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产量</w:t>
            </w:r>
          </w:p>
        </w:tc>
        <w:tc>
          <w:tcPr>
            <w:tcW w:w="808" w:type="pct"/>
            <w:tcBorders>
              <w:top w:val="single" w:color="000000" w:sz="4" w:space="0"/>
              <w:left w:val="single" w:color="000000" w:sz="4" w:space="0"/>
              <w:bottom w:val="single" w:color="000000" w:sz="4" w:space="0"/>
              <w:right w:val="single" w:color="000000" w:sz="4" w:space="0"/>
            </w:tcBorders>
            <w:noWrap/>
            <w:vAlign w:val="center"/>
          </w:tcPr>
          <w:p w14:paraId="28F70119">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同比增速</w:t>
            </w:r>
          </w:p>
        </w:tc>
        <w:tc>
          <w:tcPr>
            <w:tcW w:w="853" w:type="pct"/>
            <w:tcBorders>
              <w:top w:val="single" w:color="000000" w:sz="4" w:space="0"/>
              <w:left w:val="single" w:color="000000" w:sz="4" w:space="0"/>
              <w:bottom w:val="single" w:color="000000" w:sz="4" w:space="0"/>
              <w:right w:val="single" w:color="000000" w:sz="4" w:space="0"/>
            </w:tcBorders>
            <w:noWrap/>
            <w:vAlign w:val="center"/>
          </w:tcPr>
          <w:p w14:paraId="4CFBC360">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2024年</w:t>
            </w:r>
          </w:p>
          <w:p w14:paraId="26F1F34D">
            <w:pPr>
              <w:spacing w:line="360" w:lineRule="exact"/>
              <w:jc w:val="center"/>
              <w:textAlignment w:val="bottom"/>
              <w:rPr>
                <w:rFonts w:hint="eastAsia" w:ascii="仿宋" w:hAnsi="仿宋" w:eastAsia="仿宋" w:cs="仿宋"/>
                <w:sz w:val="28"/>
                <w:szCs w:val="28"/>
              </w:rPr>
            </w:pPr>
            <w:bookmarkStart w:id="4" w:name="_GoBack"/>
            <w:bookmarkEnd w:id="4"/>
            <w:r>
              <w:rPr>
                <w:rFonts w:hint="eastAsia" w:ascii="仿宋" w:hAnsi="仿宋" w:eastAsia="仿宋" w:cs="仿宋"/>
                <w:sz w:val="28"/>
                <w:szCs w:val="28"/>
              </w:rPr>
              <w:t>发货量</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2B0F94EF">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同比增速</w:t>
            </w:r>
          </w:p>
        </w:tc>
      </w:tr>
      <w:tr w14:paraId="035E9446">
        <w:tblPrEx>
          <w:tblCellMar>
            <w:top w:w="0" w:type="dxa"/>
            <w:left w:w="108" w:type="dxa"/>
            <w:bottom w:w="0" w:type="dxa"/>
            <w:right w:w="108" w:type="dxa"/>
          </w:tblCellMar>
        </w:tblPrEx>
        <w:trPr>
          <w:trHeight w:val="397" w:hRule="atLeast"/>
          <w:jc w:val="center"/>
        </w:trPr>
        <w:tc>
          <w:tcPr>
            <w:tcW w:w="1476" w:type="dxa"/>
            <w:tcBorders>
              <w:top w:val="single" w:color="000000" w:sz="4" w:space="0"/>
              <w:left w:val="single" w:color="000000" w:sz="4" w:space="0"/>
              <w:bottom w:val="single" w:color="000000" w:sz="4" w:space="0"/>
              <w:right w:val="single" w:color="000000" w:sz="4" w:space="0"/>
            </w:tcBorders>
            <w:noWrap/>
            <w:vAlign w:val="center"/>
          </w:tcPr>
          <w:p w14:paraId="6F1C721C">
            <w:pPr>
              <w:jc w:val="both"/>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电力变压器</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31529675">
            <w:pPr>
              <w:jc w:val="center"/>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万kVA</w:t>
            </w:r>
          </w:p>
        </w:tc>
        <w:tc>
          <w:tcPr>
            <w:tcW w:w="1397" w:type="dxa"/>
            <w:tcBorders>
              <w:top w:val="single" w:color="000000" w:sz="4" w:space="0"/>
              <w:left w:val="single" w:color="000000" w:sz="4" w:space="0"/>
              <w:bottom w:val="single" w:color="000000" w:sz="4" w:space="0"/>
              <w:right w:val="single" w:color="000000" w:sz="4" w:space="0"/>
            </w:tcBorders>
            <w:noWrap/>
            <w:vAlign w:val="center"/>
          </w:tcPr>
          <w:p w14:paraId="4862CAC3">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 xml:space="preserve"> 3,315 </w:t>
            </w:r>
          </w:p>
        </w:tc>
        <w:tc>
          <w:tcPr>
            <w:tcW w:w="1404" w:type="dxa"/>
            <w:tcBorders>
              <w:top w:val="single" w:color="000000" w:sz="4" w:space="0"/>
              <w:left w:val="single" w:color="000000" w:sz="4" w:space="0"/>
              <w:bottom w:val="single" w:color="000000" w:sz="4" w:space="0"/>
              <w:right w:val="single" w:color="000000" w:sz="4" w:space="0"/>
            </w:tcBorders>
            <w:noWrap/>
            <w:vAlign w:val="center"/>
          </w:tcPr>
          <w:p w14:paraId="110986E4">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164.53%</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35888975">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 xml:space="preserve"> 3,499 </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520E22EC">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184.56%</w:t>
            </w:r>
          </w:p>
        </w:tc>
      </w:tr>
      <w:tr w14:paraId="3252CCB3">
        <w:tblPrEx>
          <w:tblCellMar>
            <w:top w:w="0" w:type="dxa"/>
            <w:left w:w="108" w:type="dxa"/>
            <w:bottom w:w="0" w:type="dxa"/>
            <w:right w:w="108" w:type="dxa"/>
          </w:tblCellMar>
        </w:tblPrEx>
        <w:trPr>
          <w:trHeight w:val="397" w:hRule="atLeast"/>
          <w:jc w:val="center"/>
        </w:trPr>
        <w:tc>
          <w:tcPr>
            <w:tcW w:w="1476" w:type="dxa"/>
            <w:tcBorders>
              <w:top w:val="single" w:color="000000" w:sz="4" w:space="0"/>
              <w:left w:val="single" w:color="000000" w:sz="4" w:space="0"/>
              <w:bottom w:val="single" w:color="000000" w:sz="4" w:space="0"/>
              <w:right w:val="single" w:color="000000" w:sz="4" w:space="0"/>
            </w:tcBorders>
            <w:noWrap/>
            <w:vAlign w:val="center"/>
          </w:tcPr>
          <w:p w14:paraId="5E6B016B">
            <w:pPr>
              <w:jc w:val="both"/>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箱式变电站</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4A22445B">
            <w:pPr>
              <w:jc w:val="center"/>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万kVA</w:t>
            </w:r>
          </w:p>
        </w:tc>
        <w:tc>
          <w:tcPr>
            <w:tcW w:w="1397" w:type="dxa"/>
            <w:tcBorders>
              <w:top w:val="single" w:color="000000" w:sz="4" w:space="0"/>
              <w:left w:val="single" w:color="000000" w:sz="4" w:space="0"/>
              <w:bottom w:val="single" w:color="000000" w:sz="4" w:space="0"/>
              <w:right w:val="single" w:color="000000" w:sz="4" w:space="0"/>
            </w:tcBorders>
            <w:noWrap/>
            <w:vAlign w:val="center"/>
          </w:tcPr>
          <w:p w14:paraId="1FA532C6">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 xml:space="preserve"> 296 </w:t>
            </w:r>
          </w:p>
        </w:tc>
        <w:tc>
          <w:tcPr>
            <w:tcW w:w="1404" w:type="dxa"/>
            <w:tcBorders>
              <w:top w:val="single" w:color="000000" w:sz="4" w:space="0"/>
              <w:left w:val="single" w:color="000000" w:sz="4" w:space="0"/>
              <w:bottom w:val="single" w:color="000000" w:sz="4" w:space="0"/>
              <w:right w:val="single" w:color="000000" w:sz="4" w:space="0"/>
            </w:tcBorders>
            <w:noWrap/>
            <w:vAlign w:val="center"/>
          </w:tcPr>
          <w:p w14:paraId="1F9995FF">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-2.72%</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621C16B9">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 xml:space="preserve"> 293 </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AA0B529">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1.97%</w:t>
            </w:r>
          </w:p>
        </w:tc>
      </w:tr>
      <w:tr w14:paraId="377FA765">
        <w:tblPrEx>
          <w:tblCellMar>
            <w:top w:w="0" w:type="dxa"/>
            <w:left w:w="108" w:type="dxa"/>
            <w:bottom w:w="0" w:type="dxa"/>
            <w:right w:w="108" w:type="dxa"/>
          </w:tblCellMar>
        </w:tblPrEx>
        <w:trPr>
          <w:trHeight w:val="397" w:hRule="atLeast"/>
          <w:jc w:val="center"/>
        </w:trPr>
        <w:tc>
          <w:tcPr>
            <w:tcW w:w="1476" w:type="dxa"/>
            <w:tcBorders>
              <w:top w:val="single" w:color="000000" w:sz="4" w:space="0"/>
              <w:left w:val="single" w:color="000000" w:sz="4" w:space="0"/>
              <w:bottom w:val="single" w:color="000000" w:sz="4" w:space="0"/>
              <w:right w:val="single" w:color="000000" w:sz="4" w:space="0"/>
            </w:tcBorders>
            <w:noWrap/>
            <w:vAlign w:val="center"/>
          </w:tcPr>
          <w:p w14:paraId="2D83AA99">
            <w:pPr>
              <w:jc w:val="both"/>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其他成套设备</w:t>
            </w:r>
          </w:p>
        </w:tc>
        <w:tc>
          <w:tcPr>
            <w:tcW w:w="1536" w:type="dxa"/>
            <w:tcBorders>
              <w:top w:val="single" w:color="000000" w:sz="4" w:space="0"/>
              <w:left w:val="single" w:color="000000" w:sz="4" w:space="0"/>
              <w:bottom w:val="single" w:color="000000" w:sz="4" w:space="0"/>
              <w:right w:val="single" w:color="000000" w:sz="4" w:space="0"/>
            </w:tcBorders>
            <w:noWrap/>
            <w:vAlign w:val="center"/>
          </w:tcPr>
          <w:p w14:paraId="2F347292">
            <w:pPr>
              <w:jc w:val="center"/>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台/套</w:t>
            </w:r>
          </w:p>
        </w:tc>
        <w:tc>
          <w:tcPr>
            <w:tcW w:w="1397" w:type="dxa"/>
            <w:tcBorders>
              <w:top w:val="single" w:color="000000" w:sz="4" w:space="0"/>
              <w:left w:val="single" w:color="000000" w:sz="4" w:space="0"/>
              <w:bottom w:val="single" w:color="000000" w:sz="4" w:space="0"/>
              <w:right w:val="single" w:color="000000" w:sz="4" w:space="0"/>
            </w:tcBorders>
            <w:noWrap/>
            <w:vAlign w:val="center"/>
          </w:tcPr>
          <w:p w14:paraId="0A1C0D5B">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 xml:space="preserve"> 7,087 </w:t>
            </w:r>
          </w:p>
        </w:tc>
        <w:tc>
          <w:tcPr>
            <w:tcW w:w="1404" w:type="dxa"/>
            <w:tcBorders>
              <w:top w:val="single" w:color="000000" w:sz="4" w:space="0"/>
              <w:left w:val="single" w:color="000000" w:sz="4" w:space="0"/>
              <w:bottom w:val="single" w:color="000000" w:sz="4" w:space="0"/>
              <w:right w:val="single" w:color="000000" w:sz="4" w:space="0"/>
            </w:tcBorders>
            <w:noWrap/>
            <w:vAlign w:val="center"/>
          </w:tcPr>
          <w:p w14:paraId="71390604">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-46.28%</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33A8BCDE">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 xml:space="preserve"> 6,696 </w:t>
            </w:r>
          </w:p>
        </w:tc>
        <w:tc>
          <w:tcPr>
            <w:tcW w:w="1481" w:type="dxa"/>
            <w:tcBorders>
              <w:top w:val="single" w:color="000000" w:sz="4" w:space="0"/>
              <w:left w:val="single" w:color="000000" w:sz="4" w:space="0"/>
              <w:bottom w:val="single" w:color="000000" w:sz="4" w:space="0"/>
              <w:right w:val="single" w:color="000000" w:sz="4" w:space="0"/>
            </w:tcBorders>
            <w:noWrap/>
            <w:vAlign w:val="center"/>
          </w:tcPr>
          <w:p w14:paraId="6B625C66">
            <w:pPr>
              <w:jc w:val="right"/>
              <w:textAlignment w:val="bottom"/>
              <w:rPr>
                <w:rFonts w:hint="eastAsia" w:ascii="仿宋" w:hAnsi="仿宋" w:eastAsia="仿宋" w:cs="仿宋"/>
                <w:sz w:val="28"/>
                <w:szCs w:val="28"/>
              </w:rPr>
            </w:pPr>
            <w:r>
              <w:rPr>
                <w:rFonts w:hint="eastAsia" w:ascii="仿宋" w:hAnsi="仿宋" w:eastAsia="仿宋" w:cs="仿宋"/>
                <w:color w:val="000000"/>
                <w:sz w:val="28"/>
                <w:szCs w:val="28"/>
                <w:lang w:bidi="ar"/>
              </w:rPr>
              <w:t>-51.93%</w:t>
            </w:r>
          </w:p>
        </w:tc>
      </w:tr>
    </w:tbl>
    <w:p w14:paraId="3745A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电力变压器爆发式增长：主要受益于云变电气并表及220kV高电压等级产能释放，运用领域广泛覆盖电网、新能源、工业等需求；</w:t>
      </w:r>
    </w:p>
    <w:p w14:paraId="074CD1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箱式变电站稳健增长：市场竞争饱和，发货量增速平缓；</w:t>
      </w:r>
    </w:p>
    <w:p w14:paraId="29143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其他成套设备结构性调整：产量下降但单台售价提升77.42%，平均单台售价由1.55万元/台提升至2.75万元/台，公司聚焦高附加值定制化产品，减少低毛利订单。</w:t>
      </w:r>
    </w:p>
    <w:p w14:paraId="0721D4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eastAsia" w:ascii="仿宋" w:hAnsi="仿宋" w:eastAsia="仿宋" w:cs="仿宋"/>
          <w:sz w:val="32"/>
          <w:szCs w:val="32"/>
        </w:rPr>
      </w:pPr>
      <w:r>
        <w:rPr>
          <w:rFonts w:hint="eastAsia" w:ascii="仿宋" w:hAnsi="仿宋" w:eastAsia="仿宋" w:cs="仿宋"/>
          <w:sz w:val="32"/>
          <w:szCs w:val="32"/>
        </w:rPr>
        <w:t>（2）并购整合成效显现</w:t>
      </w:r>
    </w:p>
    <w:p w14:paraId="37EA9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产能协同：</w:t>
      </w:r>
      <w:bookmarkStart w:id="0" w:name="OLE_LINK107"/>
      <w:r>
        <w:rPr>
          <w:rFonts w:hint="eastAsia" w:ascii="仿宋" w:hAnsi="仿宋" w:eastAsia="仿宋" w:cs="仿宋"/>
          <w:sz w:val="32"/>
          <w:szCs w:val="32"/>
        </w:rPr>
        <w:t>云变电气</w:t>
      </w:r>
      <w:bookmarkEnd w:id="0"/>
      <w:r>
        <w:rPr>
          <w:rFonts w:hint="eastAsia" w:ascii="仿宋" w:hAnsi="仿宋" w:eastAsia="仿宋" w:cs="仿宋"/>
          <w:sz w:val="32"/>
          <w:szCs w:val="32"/>
        </w:rPr>
        <w:t>生产基地与公司原有产线形成互补，快速扩充变压器产能；</w:t>
      </w:r>
    </w:p>
    <w:p w14:paraId="3CA90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技术互补：云变电气在铁路牵引变领域的技术积累，助力公司拓展轨道交通市场；</w:t>
      </w:r>
    </w:p>
    <w:p w14:paraId="3B2EF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渠道共享：云变电气在西南地区及海外的客户资源，推动公司市场渗透率提升。</w:t>
      </w:r>
    </w:p>
    <w:p w14:paraId="133AB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2024年输配电及控制设备业务的高增长验证了并购整合战略的成功，公司将持续通过技术升级+市场精细化运营，将规模优势转化为持续盈利能力，支撑公司“双百”目标实现。</w:t>
      </w:r>
    </w:p>
    <w:p w14:paraId="4F520D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 w:hAnsi="仿宋" w:eastAsia="仿宋" w:cs="仿宋"/>
          <w:b/>
          <w:sz w:val="32"/>
          <w:szCs w:val="32"/>
        </w:rPr>
      </w:pPr>
      <w:r>
        <w:rPr>
          <w:rFonts w:hint="eastAsia" w:ascii="仿宋" w:hAnsi="仿宋" w:eastAsia="仿宋" w:cs="仿宋"/>
          <w:b/>
          <w:sz w:val="32"/>
          <w:szCs w:val="32"/>
        </w:rPr>
        <w:t>（三）高端产能+高端牌号双突破，公司取向硅钢行业话语权与竞争力全面升级</w:t>
      </w:r>
    </w:p>
    <w:p w14:paraId="19DE8F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八万吨高端磁性新材料项目2024年6月全线投产，在技术团队、设备供应商等各方协同下，实现“一次开车成功”，新产线主要生产085-095高端牌号，已实现满产满销，市场需求旺盛，公司产品竞争力强劲。</w:t>
      </w:r>
    </w:p>
    <w:p w14:paraId="0A3C7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sz w:val="32"/>
          <w:szCs w:val="32"/>
        </w:rPr>
      </w:pPr>
      <w:r>
        <w:rPr>
          <w:rFonts w:hint="eastAsia" w:ascii="仿宋" w:hAnsi="仿宋" w:eastAsia="仿宋" w:cs="仿宋"/>
          <w:sz w:val="32"/>
          <w:szCs w:val="32"/>
        </w:rPr>
        <w:t>1、产能释放+高端突破，行业龙头地位持续巩固</w:t>
      </w:r>
    </w:p>
    <w:p w14:paraId="4D292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b w:val="0"/>
          <w:bCs/>
          <w:sz w:val="32"/>
          <w:szCs w:val="32"/>
        </w:rPr>
        <w:t>八万吨高端磁性新材料项目全线投产以后，公司取向硅</w:t>
      </w:r>
      <w:r>
        <w:rPr>
          <w:rFonts w:hint="eastAsia" w:ascii="仿宋" w:hAnsi="仿宋" w:eastAsia="仿宋" w:cs="仿宋"/>
          <w:sz w:val="32"/>
          <w:szCs w:val="32"/>
        </w:rPr>
        <w:t>钢总产能已达18万吨，2024年实现产量16.10万吨，产能利用率近90%，同比产量增加27.86%；对外销售15.10万吨，同比销量增加41.55%。2024年公司取向硅钢实现产销量的双增长，实现营业收入13.35亿元，同比增加0.42亿元，保持了市场占有率稳居行业前列的地位，保障下游高端产品供应链稳定。</w:t>
      </w:r>
    </w:p>
    <w:p w14:paraId="3DCF4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不同类型取向硅钢产销量具体情况如下：</w:t>
      </w:r>
    </w:p>
    <w:tbl>
      <w:tblPr>
        <w:tblStyle w:val="9"/>
        <w:tblW w:w="5000" w:type="pct"/>
        <w:jc w:val="center"/>
        <w:tblLayout w:type="autofit"/>
        <w:tblCellMar>
          <w:top w:w="0" w:type="dxa"/>
          <w:left w:w="108" w:type="dxa"/>
          <w:bottom w:w="0" w:type="dxa"/>
          <w:right w:w="108" w:type="dxa"/>
        </w:tblCellMar>
      </w:tblPr>
      <w:tblGrid>
        <w:gridCol w:w="2123"/>
        <w:gridCol w:w="1306"/>
        <w:gridCol w:w="1101"/>
        <w:gridCol w:w="1306"/>
        <w:gridCol w:w="1919"/>
        <w:gridCol w:w="1306"/>
      </w:tblGrid>
      <w:tr w14:paraId="731EB57E">
        <w:tblPrEx>
          <w:tblCellMar>
            <w:top w:w="0" w:type="dxa"/>
            <w:left w:w="108" w:type="dxa"/>
            <w:bottom w:w="0" w:type="dxa"/>
            <w:right w:w="108" w:type="dxa"/>
          </w:tblCellMar>
        </w:tblPrEx>
        <w:trPr>
          <w:trHeight w:val="397" w:hRule="atLeast"/>
          <w:tblHeader/>
          <w:jc w:val="center"/>
        </w:trPr>
        <w:tc>
          <w:tcPr>
            <w:tcW w:w="836" w:type="pct"/>
            <w:tcBorders>
              <w:top w:val="single" w:color="000000" w:sz="4" w:space="0"/>
              <w:left w:val="single" w:color="000000" w:sz="4" w:space="0"/>
              <w:bottom w:val="single" w:color="000000" w:sz="4" w:space="0"/>
              <w:right w:val="single" w:color="000000" w:sz="4" w:space="0"/>
            </w:tcBorders>
            <w:noWrap/>
            <w:vAlign w:val="center"/>
          </w:tcPr>
          <w:p w14:paraId="54DFB9CC">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产品类别</w:t>
            </w:r>
          </w:p>
        </w:tc>
        <w:tc>
          <w:tcPr>
            <w:tcW w:w="766" w:type="pct"/>
            <w:tcBorders>
              <w:top w:val="single" w:color="000000" w:sz="4" w:space="0"/>
              <w:left w:val="nil"/>
              <w:bottom w:val="single" w:color="000000" w:sz="4" w:space="0"/>
              <w:right w:val="single" w:color="000000" w:sz="4" w:space="0"/>
            </w:tcBorders>
            <w:noWrap/>
            <w:vAlign w:val="center"/>
          </w:tcPr>
          <w:p w14:paraId="25E7A632">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计量单位</w:t>
            </w:r>
          </w:p>
        </w:tc>
        <w:tc>
          <w:tcPr>
            <w:tcW w:w="796" w:type="pct"/>
            <w:tcBorders>
              <w:top w:val="single" w:color="000000" w:sz="4" w:space="0"/>
              <w:left w:val="nil"/>
              <w:bottom w:val="single" w:color="000000" w:sz="4" w:space="0"/>
              <w:right w:val="single" w:color="000000" w:sz="4" w:space="0"/>
            </w:tcBorders>
            <w:noWrap/>
            <w:vAlign w:val="center"/>
          </w:tcPr>
          <w:p w14:paraId="450CEFF6">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2024年</w:t>
            </w:r>
          </w:p>
          <w:p w14:paraId="42DF92E6">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产量</w:t>
            </w:r>
          </w:p>
        </w:tc>
        <w:tc>
          <w:tcPr>
            <w:tcW w:w="868" w:type="pct"/>
            <w:tcBorders>
              <w:top w:val="single" w:color="000000" w:sz="4" w:space="0"/>
              <w:left w:val="nil"/>
              <w:bottom w:val="single" w:color="000000" w:sz="4" w:space="0"/>
              <w:right w:val="single" w:color="000000" w:sz="4" w:space="0"/>
            </w:tcBorders>
            <w:noWrap/>
            <w:vAlign w:val="center"/>
          </w:tcPr>
          <w:p w14:paraId="16134704">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同比增加</w:t>
            </w:r>
          </w:p>
        </w:tc>
        <w:tc>
          <w:tcPr>
            <w:tcW w:w="907" w:type="pct"/>
            <w:tcBorders>
              <w:top w:val="single" w:color="000000" w:sz="4" w:space="0"/>
              <w:left w:val="nil"/>
              <w:bottom w:val="single" w:color="000000" w:sz="4" w:space="0"/>
              <w:right w:val="single" w:color="000000" w:sz="4" w:space="0"/>
            </w:tcBorders>
            <w:noWrap/>
            <w:vAlign w:val="center"/>
          </w:tcPr>
          <w:p w14:paraId="7C982689">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2024年外销量</w:t>
            </w:r>
          </w:p>
        </w:tc>
        <w:tc>
          <w:tcPr>
            <w:tcW w:w="826" w:type="pct"/>
            <w:tcBorders>
              <w:top w:val="single" w:color="000000" w:sz="4" w:space="0"/>
              <w:left w:val="nil"/>
              <w:bottom w:val="single" w:color="000000" w:sz="4" w:space="0"/>
              <w:right w:val="single" w:color="000000" w:sz="4" w:space="0"/>
            </w:tcBorders>
            <w:noWrap/>
            <w:vAlign w:val="center"/>
          </w:tcPr>
          <w:p w14:paraId="740B5DE9">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同比增加</w:t>
            </w:r>
          </w:p>
        </w:tc>
      </w:tr>
      <w:tr w14:paraId="2FE99BF2">
        <w:tblPrEx>
          <w:tblCellMar>
            <w:top w:w="0" w:type="dxa"/>
            <w:left w:w="108" w:type="dxa"/>
            <w:bottom w:w="0" w:type="dxa"/>
            <w:right w:w="108" w:type="dxa"/>
          </w:tblCellMar>
        </w:tblPrEx>
        <w:trPr>
          <w:trHeight w:val="397" w:hRule="atLeast"/>
          <w:jc w:val="center"/>
        </w:trPr>
        <w:tc>
          <w:tcPr>
            <w:tcW w:w="836" w:type="pct"/>
            <w:tcBorders>
              <w:top w:val="single" w:color="000000" w:sz="4" w:space="0"/>
              <w:left w:val="single" w:color="000000" w:sz="4" w:space="0"/>
              <w:bottom w:val="single" w:color="000000" w:sz="4" w:space="0"/>
              <w:right w:val="single" w:color="000000" w:sz="4" w:space="0"/>
            </w:tcBorders>
            <w:noWrap/>
            <w:vAlign w:val="center"/>
          </w:tcPr>
          <w:p w14:paraId="7C259ABB">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一般取向硅钢</w:t>
            </w:r>
          </w:p>
        </w:tc>
        <w:tc>
          <w:tcPr>
            <w:tcW w:w="766" w:type="pct"/>
            <w:tcBorders>
              <w:top w:val="single" w:color="000000" w:sz="4" w:space="0"/>
              <w:left w:val="nil"/>
              <w:bottom w:val="single" w:color="000000" w:sz="4" w:space="0"/>
              <w:right w:val="single" w:color="000000" w:sz="4" w:space="0"/>
            </w:tcBorders>
            <w:noWrap/>
            <w:vAlign w:val="center"/>
          </w:tcPr>
          <w:p w14:paraId="49ADF0CB">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万吨</w:t>
            </w:r>
          </w:p>
        </w:tc>
        <w:tc>
          <w:tcPr>
            <w:tcW w:w="796" w:type="pct"/>
            <w:tcBorders>
              <w:top w:val="single" w:color="000000" w:sz="4" w:space="0"/>
              <w:left w:val="nil"/>
              <w:bottom w:val="single" w:color="000000" w:sz="4" w:space="0"/>
              <w:right w:val="single" w:color="000000" w:sz="4" w:space="0"/>
            </w:tcBorders>
            <w:noWrap/>
            <w:vAlign w:val="center"/>
          </w:tcPr>
          <w:p w14:paraId="30FB7523">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11.75</w:t>
            </w:r>
          </w:p>
        </w:tc>
        <w:tc>
          <w:tcPr>
            <w:tcW w:w="868" w:type="pct"/>
            <w:tcBorders>
              <w:top w:val="single" w:color="000000" w:sz="4" w:space="0"/>
              <w:left w:val="nil"/>
              <w:bottom w:val="single" w:color="000000" w:sz="4" w:space="0"/>
              <w:right w:val="single" w:color="000000" w:sz="4" w:space="0"/>
            </w:tcBorders>
            <w:noWrap/>
            <w:vAlign w:val="center"/>
          </w:tcPr>
          <w:p w14:paraId="39C98DF1">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14.75%</w:t>
            </w:r>
          </w:p>
        </w:tc>
        <w:tc>
          <w:tcPr>
            <w:tcW w:w="907" w:type="pct"/>
            <w:tcBorders>
              <w:top w:val="single" w:color="000000" w:sz="4" w:space="0"/>
              <w:left w:val="nil"/>
              <w:bottom w:val="single" w:color="000000" w:sz="4" w:space="0"/>
              <w:right w:val="single" w:color="000000" w:sz="4" w:space="0"/>
            </w:tcBorders>
            <w:noWrap/>
            <w:vAlign w:val="center"/>
          </w:tcPr>
          <w:p w14:paraId="0457224F">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11.62</w:t>
            </w:r>
          </w:p>
        </w:tc>
        <w:tc>
          <w:tcPr>
            <w:tcW w:w="826" w:type="pct"/>
            <w:tcBorders>
              <w:top w:val="single" w:color="000000" w:sz="4" w:space="0"/>
              <w:left w:val="nil"/>
              <w:bottom w:val="single" w:color="000000" w:sz="4" w:space="0"/>
              <w:right w:val="single" w:color="000000" w:sz="4" w:space="0"/>
            </w:tcBorders>
            <w:noWrap/>
            <w:vAlign w:val="center"/>
          </w:tcPr>
          <w:p w14:paraId="1DCBD651">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31.43%</w:t>
            </w:r>
          </w:p>
        </w:tc>
      </w:tr>
      <w:tr w14:paraId="7F71A538">
        <w:tblPrEx>
          <w:tblCellMar>
            <w:top w:w="0" w:type="dxa"/>
            <w:left w:w="108" w:type="dxa"/>
            <w:bottom w:w="0" w:type="dxa"/>
            <w:right w:w="108" w:type="dxa"/>
          </w:tblCellMar>
        </w:tblPrEx>
        <w:trPr>
          <w:trHeight w:val="397" w:hRule="atLeast"/>
          <w:jc w:val="center"/>
        </w:trPr>
        <w:tc>
          <w:tcPr>
            <w:tcW w:w="836" w:type="pct"/>
            <w:tcBorders>
              <w:top w:val="single" w:color="000000" w:sz="4" w:space="0"/>
              <w:left w:val="single" w:color="000000" w:sz="4" w:space="0"/>
              <w:bottom w:val="single" w:color="000000" w:sz="4" w:space="0"/>
              <w:right w:val="single" w:color="000000" w:sz="4" w:space="0"/>
            </w:tcBorders>
            <w:noWrap/>
            <w:vAlign w:val="center"/>
          </w:tcPr>
          <w:p w14:paraId="3010676F">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高磁感取向硅钢</w:t>
            </w:r>
          </w:p>
        </w:tc>
        <w:tc>
          <w:tcPr>
            <w:tcW w:w="766" w:type="pct"/>
            <w:tcBorders>
              <w:top w:val="single" w:color="000000" w:sz="4" w:space="0"/>
              <w:left w:val="nil"/>
              <w:bottom w:val="single" w:color="000000" w:sz="4" w:space="0"/>
              <w:right w:val="single" w:color="000000" w:sz="4" w:space="0"/>
            </w:tcBorders>
            <w:noWrap/>
            <w:vAlign w:val="center"/>
          </w:tcPr>
          <w:p w14:paraId="005CE2F9">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万吨</w:t>
            </w:r>
          </w:p>
        </w:tc>
        <w:tc>
          <w:tcPr>
            <w:tcW w:w="796" w:type="pct"/>
            <w:tcBorders>
              <w:top w:val="single" w:color="000000" w:sz="4" w:space="0"/>
              <w:left w:val="nil"/>
              <w:bottom w:val="single" w:color="000000" w:sz="4" w:space="0"/>
              <w:right w:val="single" w:color="000000" w:sz="4" w:space="0"/>
            </w:tcBorders>
            <w:noWrap/>
            <w:vAlign w:val="center"/>
          </w:tcPr>
          <w:p w14:paraId="067C0F2D">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4.35</w:t>
            </w:r>
          </w:p>
        </w:tc>
        <w:tc>
          <w:tcPr>
            <w:tcW w:w="868" w:type="pct"/>
            <w:tcBorders>
              <w:top w:val="single" w:color="000000" w:sz="4" w:space="0"/>
              <w:left w:val="nil"/>
              <w:bottom w:val="single" w:color="000000" w:sz="4" w:space="0"/>
              <w:right w:val="single" w:color="000000" w:sz="4" w:space="0"/>
            </w:tcBorders>
            <w:noWrap/>
            <w:vAlign w:val="center"/>
          </w:tcPr>
          <w:p w14:paraId="605EE4F9">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85.90%</w:t>
            </w:r>
          </w:p>
        </w:tc>
        <w:tc>
          <w:tcPr>
            <w:tcW w:w="907" w:type="pct"/>
            <w:tcBorders>
              <w:top w:val="single" w:color="000000" w:sz="4" w:space="0"/>
              <w:left w:val="nil"/>
              <w:bottom w:val="single" w:color="000000" w:sz="4" w:space="0"/>
              <w:right w:val="single" w:color="000000" w:sz="4" w:space="0"/>
            </w:tcBorders>
            <w:noWrap/>
            <w:vAlign w:val="center"/>
          </w:tcPr>
          <w:p w14:paraId="33831270">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3.48</w:t>
            </w:r>
          </w:p>
        </w:tc>
        <w:tc>
          <w:tcPr>
            <w:tcW w:w="826" w:type="pct"/>
            <w:tcBorders>
              <w:top w:val="single" w:color="000000" w:sz="4" w:space="0"/>
              <w:left w:val="nil"/>
              <w:bottom w:val="single" w:color="000000" w:sz="4" w:space="0"/>
              <w:right w:val="single" w:color="000000" w:sz="4" w:space="0"/>
            </w:tcBorders>
            <w:noWrap/>
            <w:vAlign w:val="center"/>
          </w:tcPr>
          <w:p w14:paraId="46672E8D">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90.55%</w:t>
            </w:r>
          </w:p>
        </w:tc>
      </w:tr>
      <w:tr w14:paraId="283AE9DF">
        <w:tblPrEx>
          <w:tblCellMar>
            <w:top w:w="0" w:type="dxa"/>
            <w:left w:w="108" w:type="dxa"/>
            <w:bottom w:w="0" w:type="dxa"/>
            <w:right w:w="108" w:type="dxa"/>
          </w:tblCellMar>
        </w:tblPrEx>
        <w:trPr>
          <w:trHeight w:val="397" w:hRule="atLeast"/>
          <w:jc w:val="center"/>
        </w:trPr>
        <w:tc>
          <w:tcPr>
            <w:tcW w:w="836" w:type="pct"/>
            <w:tcBorders>
              <w:top w:val="single" w:color="000000" w:sz="4" w:space="0"/>
              <w:left w:val="single" w:color="000000" w:sz="4" w:space="0"/>
              <w:bottom w:val="single" w:color="000000" w:sz="4" w:space="0"/>
              <w:right w:val="single" w:color="000000" w:sz="4" w:space="0"/>
            </w:tcBorders>
            <w:noWrap/>
            <w:vAlign w:val="center"/>
          </w:tcPr>
          <w:p w14:paraId="45DC58EB">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合计</w:t>
            </w:r>
          </w:p>
        </w:tc>
        <w:tc>
          <w:tcPr>
            <w:tcW w:w="766" w:type="pct"/>
            <w:tcBorders>
              <w:top w:val="single" w:color="000000" w:sz="4" w:space="0"/>
              <w:left w:val="nil"/>
              <w:bottom w:val="single" w:color="000000" w:sz="4" w:space="0"/>
              <w:right w:val="single" w:color="000000" w:sz="4" w:space="0"/>
            </w:tcBorders>
            <w:noWrap/>
            <w:vAlign w:val="center"/>
          </w:tcPr>
          <w:p w14:paraId="314C07B6">
            <w:pPr>
              <w:spacing w:line="360" w:lineRule="exact"/>
              <w:jc w:val="center"/>
              <w:textAlignment w:val="bottom"/>
              <w:rPr>
                <w:rFonts w:hint="eastAsia" w:ascii="仿宋" w:hAnsi="仿宋" w:eastAsia="仿宋" w:cs="仿宋"/>
                <w:sz w:val="28"/>
                <w:szCs w:val="28"/>
              </w:rPr>
            </w:pPr>
            <w:r>
              <w:rPr>
                <w:rFonts w:hint="eastAsia" w:ascii="仿宋" w:hAnsi="仿宋" w:eastAsia="仿宋" w:cs="仿宋"/>
                <w:sz w:val="28"/>
                <w:szCs w:val="28"/>
              </w:rPr>
              <w:t>万吨</w:t>
            </w:r>
          </w:p>
        </w:tc>
        <w:tc>
          <w:tcPr>
            <w:tcW w:w="796" w:type="pct"/>
            <w:tcBorders>
              <w:top w:val="single" w:color="000000" w:sz="4" w:space="0"/>
              <w:left w:val="nil"/>
              <w:bottom w:val="single" w:color="000000" w:sz="4" w:space="0"/>
              <w:right w:val="single" w:color="000000" w:sz="4" w:space="0"/>
            </w:tcBorders>
            <w:noWrap/>
            <w:vAlign w:val="center"/>
          </w:tcPr>
          <w:p w14:paraId="4CD0B0E0">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16.10</w:t>
            </w:r>
          </w:p>
        </w:tc>
        <w:tc>
          <w:tcPr>
            <w:tcW w:w="868" w:type="pct"/>
            <w:tcBorders>
              <w:top w:val="single" w:color="000000" w:sz="4" w:space="0"/>
              <w:left w:val="nil"/>
              <w:bottom w:val="single" w:color="000000" w:sz="4" w:space="0"/>
              <w:right w:val="single" w:color="000000" w:sz="4" w:space="0"/>
            </w:tcBorders>
            <w:noWrap/>
            <w:vAlign w:val="center"/>
          </w:tcPr>
          <w:p w14:paraId="7D1E6075">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27.86%</w:t>
            </w:r>
          </w:p>
        </w:tc>
        <w:tc>
          <w:tcPr>
            <w:tcW w:w="907" w:type="pct"/>
            <w:tcBorders>
              <w:top w:val="single" w:color="000000" w:sz="4" w:space="0"/>
              <w:left w:val="nil"/>
              <w:bottom w:val="single" w:color="000000" w:sz="4" w:space="0"/>
              <w:right w:val="single" w:color="000000" w:sz="4" w:space="0"/>
            </w:tcBorders>
            <w:noWrap/>
            <w:vAlign w:val="center"/>
          </w:tcPr>
          <w:p w14:paraId="1167559A">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15.10</w:t>
            </w:r>
          </w:p>
        </w:tc>
        <w:tc>
          <w:tcPr>
            <w:tcW w:w="826" w:type="pct"/>
            <w:tcBorders>
              <w:top w:val="single" w:color="000000" w:sz="4" w:space="0"/>
              <w:left w:val="nil"/>
              <w:bottom w:val="single" w:color="000000" w:sz="4" w:space="0"/>
              <w:right w:val="single" w:color="000000" w:sz="4" w:space="0"/>
            </w:tcBorders>
            <w:noWrap/>
            <w:vAlign w:val="center"/>
          </w:tcPr>
          <w:p w14:paraId="444BBA67">
            <w:pPr>
              <w:spacing w:line="360" w:lineRule="exact"/>
              <w:jc w:val="right"/>
              <w:textAlignment w:val="bottom"/>
              <w:rPr>
                <w:rFonts w:hint="eastAsia" w:ascii="仿宋" w:hAnsi="仿宋" w:eastAsia="仿宋" w:cs="仿宋"/>
                <w:sz w:val="28"/>
                <w:szCs w:val="28"/>
              </w:rPr>
            </w:pPr>
            <w:r>
              <w:rPr>
                <w:rFonts w:hint="eastAsia" w:ascii="仿宋" w:hAnsi="仿宋" w:eastAsia="仿宋" w:cs="仿宋"/>
                <w:sz w:val="28"/>
                <w:szCs w:val="28"/>
              </w:rPr>
              <w:t>41.55%</w:t>
            </w:r>
          </w:p>
        </w:tc>
      </w:tr>
    </w:tbl>
    <w:p w14:paraId="772AC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sz w:val="32"/>
          <w:szCs w:val="32"/>
        </w:rPr>
      </w:pPr>
      <w:bookmarkStart w:id="1" w:name="OLE_LINK110"/>
      <w:r>
        <w:rPr>
          <w:rFonts w:hint="eastAsia" w:ascii="仿宋" w:hAnsi="仿宋" w:eastAsia="仿宋" w:cs="仿宋"/>
          <w:sz w:val="32"/>
          <w:szCs w:val="32"/>
        </w:rPr>
        <w:t>2、</w:t>
      </w:r>
      <w:r>
        <w:rPr>
          <w:rFonts w:hint="eastAsia" w:ascii="仿宋" w:hAnsi="仿宋" w:eastAsia="仿宋" w:cs="仿宋"/>
          <w:bCs w:val="0"/>
          <w:sz w:val="32"/>
          <w:szCs w:val="32"/>
        </w:rPr>
        <w:t>高端</w:t>
      </w:r>
      <w:r>
        <w:rPr>
          <w:rFonts w:hint="eastAsia" w:ascii="仿宋" w:hAnsi="仿宋" w:eastAsia="仿宋" w:cs="仿宋"/>
          <w:sz w:val="32"/>
          <w:szCs w:val="32"/>
        </w:rPr>
        <w:t>化转型成效显著，取向硅钢牌号升级驱动竞争力与毛利率双提升</w:t>
      </w:r>
    </w:p>
    <w:p w14:paraId="3FCB16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公司通过持续优化生产工艺与技术创新，成功实现取向硅钢产品牌号向高磁感、低铁损的高端方向升级；提升了产品在新能源变压器、特高压电网等高端市场的渗透率，有力推动了公司产品市场竞争力提升。</w:t>
      </w:r>
    </w:p>
    <w:p w14:paraId="6D262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取向硅钢高端牌号产品性能对标国际领先水平，打破行业龙头企业在高牌号领域的垄断，带动公司产品市场份额提升；同时差异化优势缓解同质化竞争压力，有效支撑取向硅钢产品盈利能力提升。</w:t>
      </w:r>
    </w:p>
    <w:p w14:paraId="6C5CEA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在080牌号取向硅钢的技术突破，实现080牌号量产化；同时针对075牌号进行了技术储备和立项研究，为075牌号的成功生产奠定了坚实的基础，也标志着公司在高牌号HiB钢的工艺控制、成分设计及生产稳定性上达到行业先进水平。</w:t>
      </w:r>
    </w:p>
    <w:p w14:paraId="439E6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公司正沿着“高磁感、低铁损”方向推进取向硅钢产品的技术迭代。</w:t>
      </w:r>
    </w:p>
    <w:p w14:paraId="2DD62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公司通过“量产一代、研发一代”的策略，持续提升在高磁感取向硅钢领域的技术壁垒。</w:t>
      </w:r>
    </w:p>
    <w:bookmarkEnd w:id="1"/>
    <w:p w14:paraId="0CEDF37B">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outlineLvl w:val="2"/>
        <w:rPr>
          <w:rFonts w:hint="eastAsia" w:ascii="仿宋" w:hAnsi="仿宋" w:eastAsia="仿宋" w:cs="仿宋"/>
          <w:b/>
          <w:sz w:val="32"/>
          <w:szCs w:val="32"/>
        </w:rPr>
      </w:pPr>
      <w:r>
        <w:rPr>
          <w:rFonts w:hint="eastAsia" w:ascii="仿宋" w:hAnsi="仿宋" w:eastAsia="仿宋" w:cs="仿宋"/>
          <w:b/>
          <w:sz w:val="32"/>
          <w:szCs w:val="32"/>
        </w:rPr>
        <w:t>（四）募投项目逐步建成，赋能公司高端化与高质量发展</w:t>
      </w:r>
    </w:p>
    <w:p w14:paraId="1FA26D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2024年，公司募投项目——智能成套电气设备产业基地建设项目（以下简称“智能成套”）、110kV及以下节能型变压器智能化工厂技改项目（以下简称“变压器技改”）及研发中心及信息化建设项目已建成投用，标志着公司生产体系全面升级，内配能力增强、成本优势凸显，预计未来3-5年将贡献20-30亿元增量营收，成为公司新一轮增长的核心驱动力。</w:t>
      </w:r>
    </w:p>
    <w:p w14:paraId="355B5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1、智能成套项目投产标志着公司能提供智能化配电设备及系列化智能解决方案，将有力推动公司抢占高端市场</w:t>
      </w:r>
    </w:p>
    <w:p w14:paraId="0BA10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（1） 公司智能成套项目产品覆盖35kV及以下成套设备：从中压到低压、固定式到抽屉式、标准化到模块化、传统柜到智能柜，公司智能成套产品能满足新能源、数据中心、智慧城市等高端需求。</w:t>
      </w:r>
    </w:p>
    <w:p w14:paraId="3BC7B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（2）携手施耐德，开拓全球市场：MVnex/BlokSeT授权柜的推出，标志着公司与施耐德的合作进入技术共享+品牌联动新阶段，将助力公司产品在高端运用领域的市场拓展。</w:t>
      </w:r>
    </w:p>
    <w:p w14:paraId="78CFD1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3）新能源、数据中心、油气及轨道交通等战略领域市场需求持续旺盛，预计未来3-5年将保持强劲增长态势。通过与施耐德电气达成深度合作，成功推出BlokSeT授权柜产品，不仅标志着双方合作进入新阶段，更借助其全球品牌影响力加速开拓国际市场，为公司海外业务拓展提供新动能。</w:t>
      </w:r>
    </w:p>
    <w:p w14:paraId="5793A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2、变压器技改项目投产带来产能跃升，智能制造为公司高质量发展持续赋能</w:t>
      </w:r>
    </w:p>
    <w:p w14:paraId="55742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变压器技改项目全面交付后，电力变压器产能从750万kVA增加至1150万kVA，产能提升53.3%，</w:t>
      </w:r>
      <w:r>
        <w:rPr>
          <w:rFonts w:hint="eastAsia" w:ascii="仿宋" w:hAnsi="仿宋" w:eastAsia="仿宋" w:cs="仿宋"/>
          <w:color w:val="404040"/>
          <w:sz w:val="32"/>
          <w:szCs w:val="32"/>
        </w:rPr>
        <w:t>规模化优势进一步增强；</w:t>
      </w:r>
      <w:r>
        <w:rPr>
          <w:rFonts w:hint="eastAsia" w:ascii="仿宋" w:hAnsi="仿宋" w:eastAsia="仿宋" w:cs="仿宋"/>
          <w:sz w:val="32"/>
          <w:szCs w:val="32"/>
          <w:shd w:val="clear" w:color="auto" w:fill="FFFFFF"/>
        </w:rPr>
        <w:t>并</w:t>
      </w:r>
      <w:r>
        <w:rPr>
          <w:rFonts w:hint="eastAsia" w:ascii="仿宋" w:hAnsi="仿宋" w:eastAsia="仿宋" w:cs="仿宋"/>
          <w:sz w:val="32"/>
          <w:szCs w:val="32"/>
        </w:rPr>
        <w:t>实现了变压器产线智能化智造，使公司能够运用先进的智能制造技术和自动化生产线，显著提升生产效率和产品质量。</w:t>
      </w:r>
    </w:p>
    <w:p w14:paraId="64025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通过引入智能监控与数据分析系统，公司能够实时掌握生产状况，及时调整生产工艺，优化生产流程，提高产品的一致性和可靠性，从而降低生产成本，提升产品的综合效益。</w:t>
      </w:r>
    </w:p>
    <w:p w14:paraId="48AA2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公司除智控设备及金属制品智能工厂建设项目（一期）外，其他募投项目的全面交付为公司的新质生产力的提升和改善打下基础，为公司“双百”目标实现提供进一步支撑。</w:t>
      </w:r>
    </w:p>
    <w:p w14:paraId="429A8B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 w:hAnsi="仿宋" w:eastAsia="仿宋" w:cs="仿宋"/>
          <w:b/>
          <w:sz w:val="32"/>
          <w:szCs w:val="32"/>
        </w:rPr>
      </w:pPr>
      <w:r>
        <w:rPr>
          <w:rFonts w:hint="eastAsia" w:ascii="仿宋" w:hAnsi="仿宋" w:eastAsia="仿宋" w:cs="仿宋"/>
          <w:b/>
          <w:sz w:val="32"/>
          <w:szCs w:val="32"/>
        </w:rPr>
        <w:t>（五）研发创新驱动高质量发展，技术壁垒构筑核心竞争力</w:t>
      </w:r>
    </w:p>
    <w:p w14:paraId="3DD9E609">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3"/>
        <w:rPr>
          <w:rFonts w:hint="eastAsia" w:ascii="仿宋" w:hAnsi="仿宋" w:eastAsia="仿宋" w:cs="仿宋"/>
          <w:sz w:val="32"/>
          <w:szCs w:val="32"/>
        </w:rPr>
      </w:pPr>
      <w:r>
        <w:rPr>
          <w:rFonts w:hint="eastAsia" w:ascii="仿宋" w:hAnsi="仿宋" w:eastAsia="仿宋" w:cs="仿宋"/>
          <w:sz w:val="32"/>
          <w:szCs w:val="32"/>
        </w:rPr>
        <w:t>1、国家级技术平台认证，创新实力获国家认可</w:t>
      </w:r>
    </w:p>
    <w:p w14:paraId="6B5AB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2025年3月公司正式获批“国家企业技术中心”，跻身国家技术创新体系第一梯队，成为智能输配电领域国家级技术标杆。</w:t>
      </w:r>
    </w:p>
    <w:p w14:paraId="118FD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公司拥有研发团队157人，累计获专利342项（含云变电气），覆盖产品研发、工艺优化、智能制造等全链条技术领域。</w:t>
      </w:r>
    </w:p>
    <w:p w14:paraId="568FAA99">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3"/>
        <w:rPr>
          <w:rFonts w:hint="eastAsia" w:ascii="仿宋" w:hAnsi="仿宋" w:eastAsia="仿宋" w:cs="仿宋"/>
          <w:sz w:val="32"/>
          <w:szCs w:val="32"/>
        </w:rPr>
      </w:pPr>
      <w:r>
        <w:rPr>
          <w:rFonts w:hint="eastAsia" w:ascii="仿宋" w:hAnsi="仿宋" w:eastAsia="仿宋" w:cs="仿宋"/>
          <w:sz w:val="32"/>
          <w:szCs w:val="32"/>
        </w:rPr>
        <w:t>2、 取向硅钢技术突破，高端牌号研发加速</w:t>
      </w:r>
    </w:p>
    <w:p w14:paraId="60908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085牌号性能大幅提升，通过原料优化、工艺参数调整及产线“人机料法环”协同升级，实现成本降低与质量跃升。</w:t>
      </w:r>
    </w:p>
    <w:p w14:paraId="2425A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075牌号研发立项及部分技术取得突破，技术积累显著缩小与国际巨头差距，为下一代超高磁感产品量产奠定基础。</w:t>
      </w:r>
    </w:p>
    <w:p w14:paraId="530636D0">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3"/>
        <w:rPr>
          <w:rFonts w:hint="eastAsia" w:ascii="仿宋" w:hAnsi="仿宋" w:eastAsia="仿宋" w:cs="仿宋"/>
          <w:sz w:val="32"/>
          <w:szCs w:val="32"/>
        </w:rPr>
      </w:pPr>
      <w:r>
        <w:rPr>
          <w:rFonts w:hint="eastAsia" w:ascii="仿宋" w:hAnsi="仿宋" w:eastAsia="仿宋" w:cs="仿宋"/>
          <w:sz w:val="32"/>
          <w:szCs w:val="32"/>
        </w:rPr>
        <w:t>3、 输配电及控制设备前瞻布局，抢占能源革命与AI算力风口</w:t>
      </w:r>
    </w:p>
    <w:p w14:paraId="30719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公司前瞻性布局研发高端变压器系列：一二级能效500kV及以下电力变压器、新型电气化铁路牵引变压器、立体卷铁心非晶合金变压器、光伏、风电、储能项目电力变压器和箱式变压器等新产品。</w:t>
      </w:r>
    </w:p>
    <w:p w14:paraId="11CD4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新能源与智能化产品：光伏/风电智能成套设备、Elink-H35智能储能并网箱变、环保充气柜、低压智能柜（IOT集成）。</w:t>
      </w:r>
    </w:p>
    <w:p w14:paraId="0A48E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公司产品实现前沿领域突破：数据中心专用变压器（满足AI算力高负载需求）、具身智能配套电力系统（前瞻性技术储备）。</w:t>
      </w:r>
    </w:p>
    <w:p w14:paraId="2B14F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报告期内，公司围绕研发投入不断向“上”提升，不断注入新质生产力，持续提升相关技术壁垒，增强市场竞争力；提高产品附加值，驱动产品迭代；推动高端化转型，提高利润率引领公司持续高质量发展。</w:t>
      </w:r>
    </w:p>
    <w:p w14:paraId="5E3E42F5">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outlineLvl w:val="2"/>
        <w:rPr>
          <w:rFonts w:hint="eastAsia" w:ascii="仿宋" w:hAnsi="仿宋" w:eastAsia="仿宋" w:cs="仿宋"/>
          <w:b/>
          <w:sz w:val="32"/>
          <w:szCs w:val="32"/>
        </w:rPr>
      </w:pPr>
      <w:r>
        <w:rPr>
          <w:rFonts w:hint="eastAsia" w:ascii="仿宋" w:hAnsi="仿宋" w:eastAsia="仿宋" w:cs="仿宋"/>
          <w:b/>
          <w:sz w:val="32"/>
          <w:szCs w:val="32"/>
        </w:rPr>
        <w:t>（六）市场布局持续向“上”突破，客户结构优化成效显著</w:t>
      </w:r>
    </w:p>
    <w:p w14:paraId="159B9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sz w:val="32"/>
          <w:szCs w:val="32"/>
        </w:rPr>
      </w:pPr>
      <w:r>
        <w:rPr>
          <w:rFonts w:hint="eastAsia" w:ascii="仿宋" w:hAnsi="仿宋" w:eastAsia="仿宋" w:cs="仿宋"/>
          <w:sz w:val="32"/>
          <w:szCs w:val="32"/>
        </w:rPr>
        <w:t>1、市场布局纵深推进，全球化战略加速落地</w:t>
      </w:r>
    </w:p>
    <w:p w14:paraId="0C862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公司国际化战略取得积极进展，取向硅钢产品成功拓展至印度、土耳其等成熟市场及加拿大、哥伦比亚等新增市场，实现11国出口覆盖。通过聚焦高端牌号产品，重点布局海外变压器供应链，全球市场竞争力持续提升。</w:t>
      </w:r>
    </w:p>
    <w:p w14:paraId="10E61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公司输配电设备海外布局成效显著，以云变电气为核心建立出口基地，充分发挥云南区位优势辐射东南亚市场。通过设立老挝、越南等5国办事处，参与孟加拉、斯里兰卡主电网投标，建立迪拜销售中心覆盖中东地区，并依托埃塞俄比亚办事处协同央企总包项目，初步构建起覆盖东南亚、南亚、中东及非洲的全球化销售网络体系。</w:t>
      </w:r>
    </w:p>
    <w:p w14:paraId="65C99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
          <w:sz w:val="32"/>
          <w:szCs w:val="32"/>
        </w:rPr>
      </w:pPr>
      <w:r>
        <w:rPr>
          <w:rFonts w:hint="eastAsia" w:ascii="仿宋" w:hAnsi="仿宋" w:eastAsia="仿宋" w:cs="仿宋"/>
          <w:bCs w:val="0"/>
          <w:sz w:val="32"/>
          <w:szCs w:val="32"/>
        </w:rPr>
        <w:t>2、高电压等级产品占比实现跨越式突破</w:t>
      </w:r>
    </w:p>
    <w:p w14:paraId="02335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110kV及以上电压等级电力变压器营业收入占变压器的营业收入比重从2023年的5%提升到2024年的44.5%，总额达到6.46亿元；公司输配电及控制设备业务向上供应能力实现重大突破。</w:t>
      </w:r>
    </w:p>
    <w:p w14:paraId="0777B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sz w:val="32"/>
          <w:szCs w:val="32"/>
        </w:rPr>
      </w:pPr>
      <w:r>
        <w:rPr>
          <w:rFonts w:hint="eastAsia" w:ascii="仿宋" w:hAnsi="仿宋" w:eastAsia="仿宋" w:cs="仿宋"/>
          <w:bCs w:val="0"/>
          <w:sz w:val="32"/>
          <w:szCs w:val="32"/>
        </w:rPr>
        <w:t>3、核心央国企客户收入显著提升 新能源领域合作持续深化</w:t>
      </w:r>
    </w:p>
    <w:p w14:paraId="17D9E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2024年，公司核心央国企客户战略成效显著，</w:t>
      </w:r>
      <w:bookmarkStart w:id="2" w:name="OLE_LINK41"/>
      <w:bookmarkStart w:id="3" w:name="OLE_LINK116"/>
      <w:r>
        <w:rPr>
          <w:rFonts w:hint="eastAsia" w:ascii="仿宋" w:hAnsi="仿宋" w:eastAsia="仿宋" w:cs="仿宋"/>
          <w:sz w:val="32"/>
          <w:szCs w:val="32"/>
        </w:rPr>
        <w:t>国家电网、中国电建</w:t>
      </w:r>
      <w:bookmarkEnd w:id="2"/>
      <w:bookmarkEnd w:id="3"/>
      <w:r>
        <w:rPr>
          <w:rFonts w:hint="eastAsia" w:ascii="仿宋" w:hAnsi="仿宋" w:eastAsia="仿宋" w:cs="仿宋"/>
          <w:sz w:val="32"/>
          <w:szCs w:val="32"/>
        </w:rPr>
        <w:t>等前五大客户收入占比达40.96%，同比提升2.46个百分点，户均收入由1.04亿元增至1.58亿元。同时，公司持续深化与央国企的战略合作，成功拓展油气运用领域能源巨头客户，并全面切入“五大六小”发电端能源运用领域供应链，实现光伏、风电、储能等新兴领域配套业务的全覆盖，为未来业绩增长奠定坚实基础。</w:t>
      </w:r>
    </w:p>
    <w:p w14:paraId="1DF40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b/>
          <w:bCs w:val="0"/>
          <w:sz w:val="32"/>
          <w:szCs w:val="32"/>
        </w:rPr>
      </w:pPr>
      <w:r>
        <w:rPr>
          <w:rFonts w:hint="eastAsia" w:ascii="仿宋" w:hAnsi="仿宋" w:eastAsia="仿宋" w:cs="仿宋"/>
          <w:bCs w:val="0"/>
          <w:sz w:val="32"/>
          <w:szCs w:val="32"/>
        </w:rPr>
        <w:t>（七）治理能力全面升级，筑牢高质量发展基石</w:t>
      </w:r>
    </w:p>
    <w:p w14:paraId="36761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1、公司治理体系优化，加强科学决策与风险防控</w:t>
      </w:r>
    </w:p>
    <w:p w14:paraId="6A559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重新梳理投资管理部及经营层专家顾问委员会、薪酬福利委员会、绩效管理委员会、预算委员会、定额管理委员会、定标委员会、质量管理委员会等日常生产经营管理机构职能职责，要求各专业机构履职尽责，切实为生产经营提供有价值的服务，充分发挥各委员会的专业优势为日常生产经营把脉开方子。</w:t>
      </w:r>
    </w:p>
    <w:p w14:paraId="6FA2C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2、数字化转型成效显著，智慧管理赋能运营能力提升</w:t>
      </w:r>
    </w:p>
    <w:p w14:paraId="52F94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全面推进数字化转型，智能制造领域实现变压器工厂MES系统全覆盖，生产数据实时采集准确率99.8%；取向硅钢车间通过工业互联网优化工艺参数，良品率提升2.3个百分点；智慧风控体系依托大数据模型实现客户信用实时预警；建成原材料价格波动预警系统，2024年采购降本率达5.1%，数字化赋能成效显著。</w:t>
      </w:r>
    </w:p>
    <w:p w14:paraId="3F4A3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 w:hAnsi="仿宋" w:eastAsia="仿宋" w:cs="仿宋"/>
          <w:bCs w:val="0"/>
          <w:sz w:val="32"/>
          <w:szCs w:val="32"/>
        </w:rPr>
      </w:pPr>
      <w:r>
        <w:rPr>
          <w:rFonts w:hint="eastAsia" w:ascii="仿宋" w:hAnsi="仿宋" w:eastAsia="仿宋" w:cs="仿宋"/>
          <w:bCs w:val="0"/>
          <w:sz w:val="32"/>
          <w:szCs w:val="32"/>
        </w:rPr>
        <w:t>3、人才机制创新，激发组织活力</w:t>
      </w:r>
    </w:p>
    <w:p w14:paraId="45FFB6B9">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sz w:val="32"/>
          <w:szCs w:val="32"/>
        </w:rPr>
        <w:t>2024年，公司深入推进人才机制创新，核心人才计划成效显著：研发项目产业化率提升至75%，"双导师制"管理培训生计划实现关键岗位人才100%满足。同步优化激励机制，实施人才晋升与日常绩效考核相结合，同时加大高绩效考核，23名研发骨干纳入股权激励计划，带动专利申报量同比增长45%，人才创新效能持续释放。</w:t>
      </w:r>
    </w:p>
    <w:p w14:paraId="21C529BF">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董事会工作开展情况</w:t>
      </w:r>
    </w:p>
    <w:p w14:paraId="28B1083B">
      <w:pPr>
        <w:ind w:firstLine="640" w:firstLineChars="200"/>
        <w:rPr>
          <w:rFonts w:ascii="仿宋" w:hAnsi="仿宋" w:eastAsia="仿宋" w:cs="仿宋"/>
          <w:sz w:val="32"/>
          <w:szCs w:val="32"/>
        </w:rPr>
      </w:pPr>
      <w:r>
        <w:rPr>
          <w:rFonts w:hint="eastAsia" w:ascii="仿宋" w:hAnsi="仿宋" w:eastAsia="仿宋" w:cs="仿宋"/>
          <w:sz w:val="32"/>
          <w:szCs w:val="32"/>
        </w:rPr>
        <w:t>2024年是公司董事会换届后第一个完整会计年度，新一届董事会在勤勉尽责的基础上，不断提升自身的专业素养和决策能力，以更加饱满的热情和更加坚定的信心，迎接新的挑战，引领公司在激烈的市场竞争中前行，确保公司实现可持续发展的长远目标 。2024年具体工作如下：</w:t>
      </w:r>
    </w:p>
    <w:p w14:paraId="433A4A35">
      <w:pPr>
        <w:ind w:firstLine="643" w:firstLineChars="200"/>
        <w:rPr>
          <w:rFonts w:ascii="仿宋" w:hAnsi="仿宋" w:eastAsia="仿宋" w:cs="仿宋"/>
          <w:b/>
          <w:bCs/>
          <w:sz w:val="32"/>
          <w:szCs w:val="32"/>
        </w:rPr>
      </w:pPr>
      <w:r>
        <w:rPr>
          <w:rFonts w:hint="eastAsia" w:ascii="仿宋" w:hAnsi="仿宋" w:eastAsia="仿宋" w:cs="仿宋"/>
          <w:b/>
          <w:bCs/>
          <w:sz w:val="32"/>
          <w:szCs w:val="32"/>
        </w:rPr>
        <w:t>（一）董事会会议召开情况</w:t>
      </w:r>
    </w:p>
    <w:p w14:paraId="7CDDCAF7">
      <w:pPr>
        <w:autoSpaceDE w:val="0"/>
        <w:autoSpaceDN w:val="0"/>
        <w:adjustRightIn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2024年董事会按照《公司章程》《董事会议事规则》认真履行相关责任，组织召开了8次董事会，共审议48个事项。报告期内董事会组织召开的董事会会议情况如下：</w:t>
      </w:r>
    </w:p>
    <w:tbl>
      <w:tblPr>
        <w:tblStyle w:val="9"/>
        <w:tblW w:w="8820" w:type="dxa"/>
        <w:tblInd w:w="96" w:type="dxa"/>
        <w:tblLayout w:type="autofit"/>
        <w:tblCellMar>
          <w:top w:w="0" w:type="dxa"/>
          <w:left w:w="108" w:type="dxa"/>
          <w:bottom w:w="0" w:type="dxa"/>
          <w:right w:w="108" w:type="dxa"/>
        </w:tblCellMar>
      </w:tblPr>
      <w:tblGrid>
        <w:gridCol w:w="704"/>
        <w:gridCol w:w="1216"/>
        <w:gridCol w:w="1610"/>
        <w:gridCol w:w="5290"/>
      </w:tblGrid>
      <w:tr w14:paraId="21100D56">
        <w:tblPrEx>
          <w:tblCellMar>
            <w:top w:w="0" w:type="dxa"/>
            <w:left w:w="108" w:type="dxa"/>
            <w:bottom w:w="0" w:type="dxa"/>
            <w:right w:w="108" w:type="dxa"/>
          </w:tblCellMar>
        </w:tblPrEx>
        <w:trPr>
          <w:trHeight w:val="949" w:hRule="atLeast"/>
        </w:trPr>
        <w:tc>
          <w:tcPr>
            <w:tcW w:w="8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5B5B">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2024年董事会召开情况表</w:t>
            </w:r>
          </w:p>
        </w:tc>
      </w:tr>
      <w:tr w14:paraId="084FA916">
        <w:tblPrEx>
          <w:tblCellMar>
            <w:top w:w="0" w:type="dxa"/>
            <w:left w:w="108" w:type="dxa"/>
            <w:bottom w:w="0" w:type="dxa"/>
            <w:right w:w="108"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A0A1">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14:paraId="6EE829D3">
            <w:pPr>
              <w:widowControl/>
              <w:jc w:val="center"/>
              <w:textAlignment w:val="top"/>
              <w:rPr>
                <w:rFonts w:ascii="仿宋" w:hAnsi="仿宋" w:eastAsia="仿宋" w:cs="仿宋"/>
                <w:b/>
                <w:bCs/>
                <w:color w:val="000000"/>
                <w:szCs w:val="21"/>
              </w:rPr>
            </w:pPr>
            <w:r>
              <w:rPr>
                <w:rFonts w:hint="eastAsia" w:ascii="仿宋" w:hAnsi="仿宋" w:eastAsia="仿宋" w:cs="仿宋"/>
                <w:b/>
                <w:bCs/>
                <w:color w:val="000000"/>
                <w:kern w:val="0"/>
                <w:szCs w:val="21"/>
                <w:lang w:bidi="ar"/>
              </w:rPr>
              <w:t>会议时间</w:t>
            </w:r>
          </w:p>
        </w:tc>
        <w:tc>
          <w:tcPr>
            <w:tcW w:w="1610" w:type="dxa"/>
            <w:tcBorders>
              <w:top w:val="single" w:color="000000" w:sz="4" w:space="0"/>
              <w:left w:val="single" w:color="000000" w:sz="4" w:space="0"/>
              <w:bottom w:val="single" w:color="000000" w:sz="4" w:space="0"/>
              <w:right w:val="single" w:color="000000" w:sz="4" w:space="0"/>
            </w:tcBorders>
            <w:shd w:val="clear" w:color="auto" w:fill="auto"/>
          </w:tcPr>
          <w:p w14:paraId="29F3B963">
            <w:pPr>
              <w:widowControl/>
              <w:jc w:val="center"/>
              <w:textAlignment w:val="top"/>
              <w:rPr>
                <w:rFonts w:ascii="仿宋" w:hAnsi="仿宋" w:eastAsia="仿宋" w:cs="仿宋"/>
                <w:b/>
                <w:bCs/>
                <w:color w:val="000000"/>
                <w:szCs w:val="21"/>
              </w:rPr>
            </w:pPr>
            <w:r>
              <w:rPr>
                <w:rFonts w:hint="eastAsia" w:ascii="仿宋" w:hAnsi="仿宋" w:eastAsia="仿宋" w:cs="仿宋"/>
                <w:b/>
                <w:bCs/>
                <w:color w:val="000000"/>
                <w:kern w:val="0"/>
                <w:szCs w:val="21"/>
                <w:lang w:bidi="ar"/>
              </w:rPr>
              <w:t>会议届次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8FCF">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议案名称</w:t>
            </w:r>
          </w:p>
        </w:tc>
      </w:tr>
      <w:tr w14:paraId="7540A442">
        <w:tblPrEx>
          <w:tblCellMar>
            <w:top w:w="0" w:type="dxa"/>
            <w:left w:w="108" w:type="dxa"/>
            <w:bottom w:w="0" w:type="dxa"/>
            <w:right w:w="108" w:type="dxa"/>
          </w:tblCellMar>
        </w:tblPrEx>
        <w:trPr>
          <w:trHeight w:val="364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B4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9DE7">
            <w:pPr>
              <w:widowControl/>
              <w:jc w:val="center"/>
              <w:textAlignment w:val="top"/>
              <w:rPr>
                <w:rFonts w:ascii="仿宋" w:hAnsi="仿宋" w:eastAsia="仿宋" w:cs="仿宋"/>
                <w:color w:val="000000"/>
                <w:szCs w:val="21"/>
              </w:rPr>
            </w:pPr>
            <w:r>
              <w:rPr>
                <w:rFonts w:ascii="仿宋" w:hAnsi="仿宋" w:eastAsia="仿宋" w:cs="Times New Roman"/>
                <w:color w:val="000000"/>
                <w:kern w:val="0"/>
                <w:sz w:val="20"/>
                <w:szCs w:val="20"/>
                <w:lang w:bidi="ar"/>
              </w:rPr>
              <w:t>2024.1.18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A324">
            <w:pPr>
              <w:widowControl/>
              <w:jc w:val="left"/>
              <w:textAlignment w:val="top"/>
              <w:rPr>
                <w:rFonts w:ascii="仿宋" w:hAnsi="仿宋" w:eastAsia="仿宋" w:cs="仿宋"/>
                <w:color w:val="000000"/>
                <w:szCs w:val="21"/>
              </w:rPr>
            </w:pPr>
            <w:r>
              <w:rPr>
                <w:rFonts w:hint="eastAsia" w:ascii="仿宋" w:hAnsi="仿宋" w:eastAsia="仿宋" w:cs="宋体"/>
                <w:color w:val="000000"/>
                <w:kern w:val="0"/>
                <w:sz w:val="20"/>
                <w:szCs w:val="20"/>
                <w:lang w:bidi="ar"/>
              </w:rPr>
              <w:t>第四届第二次会议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4D1DDCA6">
            <w:pPr>
              <w:widowControl/>
              <w:jc w:val="left"/>
              <w:textAlignment w:val="top"/>
              <w:rPr>
                <w:rFonts w:ascii="仿宋" w:hAnsi="仿宋" w:eastAsia="仿宋" w:cs="仿宋"/>
                <w:color w:val="000000"/>
                <w:szCs w:val="21"/>
              </w:rPr>
            </w:pPr>
            <w:r>
              <w:rPr>
                <w:rStyle w:val="23"/>
                <w:rFonts w:ascii="仿宋" w:hAnsi="仿宋" w:eastAsia="仿宋"/>
                <w:lang w:bidi="ar"/>
              </w:rPr>
              <w:t>1.</w:t>
            </w:r>
            <w:r>
              <w:rPr>
                <w:rFonts w:hint="eastAsia" w:ascii="仿宋" w:hAnsi="仿宋" w:eastAsia="仿宋" w:cs="宋体"/>
                <w:color w:val="000000"/>
                <w:kern w:val="0"/>
                <w:sz w:val="20"/>
                <w:szCs w:val="20"/>
                <w:lang w:bidi="ar"/>
              </w:rPr>
              <w:t>《关于</w:t>
            </w:r>
            <w:r>
              <w:rPr>
                <w:rStyle w:val="23"/>
                <w:rFonts w:ascii="仿宋" w:hAnsi="仿宋" w:eastAsia="仿宋"/>
                <w:lang w:bidi="ar"/>
              </w:rPr>
              <w:t>2024</w:t>
            </w:r>
            <w:r>
              <w:rPr>
                <w:rFonts w:hint="eastAsia" w:ascii="仿宋" w:hAnsi="仿宋" w:eastAsia="仿宋" w:cs="宋体"/>
                <w:color w:val="000000"/>
                <w:kern w:val="0"/>
                <w:sz w:val="20"/>
                <w:szCs w:val="20"/>
                <w:lang w:bidi="ar"/>
              </w:rPr>
              <w:t>年度向银行等金融机构申请综合授信额度及为子公司提供融资担保额度的议案》</w:t>
            </w:r>
            <w:r>
              <w:rPr>
                <w:rStyle w:val="23"/>
                <w:rFonts w:ascii="仿宋" w:hAnsi="仿宋" w:eastAsia="仿宋"/>
                <w:lang w:bidi="ar"/>
              </w:rPr>
              <w:br w:type="textWrapping"/>
            </w:r>
            <w:r>
              <w:rPr>
                <w:rStyle w:val="23"/>
                <w:rFonts w:ascii="仿宋" w:hAnsi="仿宋" w:eastAsia="仿宋"/>
                <w:lang w:bidi="ar"/>
              </w:rPr>
              <w:t>2.</w:t>
            </w:r>
            <w:r>
              <w:rPr>
                <w:rFonts w:hint="eastAsia" w:ascii="仿宋" w:hAnsi="仿宋" w:eastAsia="仿宋" w:cs="宋体"/>
                <w:color w:val="000000"/>
                <w:kern w:val="0"/>
                <w:sz w:val="20"/>
                <w:szCs w:val="20"/>
                <w:lang w:bidi="ar"/>
              </w:rPr>
              <w:t>《关于预计公司</w:t>
            </w:r>
            <w:r>
              <w:rPr>
                <w:rStyle w:val="23"/>
                <w:rFonts w:ascii="仿宋" w:hAnsi="仿宋" w:eastAsia="仿宋"/>
                <w:lang w:bidi="ar"/>
              </w:rPr>
              <w:t>2024</w:t>
            </w:r>
            <w:r>
              <w:rPr>
                <w:rFonts w:hint="eastAsia" w:ascii="仿宋" w:hAnsi="仿宋" w:eastAsia="仿宋" w:cs="宋体"/>
                <w:color w:val="000000"/>
                <w:kern w:val="0"/>
                <w:sz w:val="20"/>
                <w:szCs w:val="20"/>
                <w:lang w:bidi="ar"/>
              </w:rPr>
              <w:t>年度日常关联交易的议案》</w:t>
            </w:r>
            <w:r>
              <w:rPr>
                <w:rStyle w:val="23"/>
                <w:rFonts w:ascii="仿宋" w:hAnsi="仿宋" w:eastAsia="仿宋"/>
                <w:lang w:bidi="ar"/>
              </w:rPr>
              <w:br w:type="textWrapping"/>
            </w:r>
            <w:r>
              <w:rPr>
                <w:rStyle w:val="23"/>
                <w:rFonts w:ascii="仿宋" w:hAnsi="仿宋" w:eastAsia="仿宋"/>
                <w:lang w:bidi="ar"/>
              </w:rPr>
              <w:t>3.</w:t>
            </w:r>
            <w:r>
              <w:rPr>
                <w:rFonts w:hint="eastAsia" w:ascii="仿宋" w:hAnsi="仿宋" w:eastAsia="仿宋" w:cs="宋体"/>
                <w:color w:val="000000"/>
                <w:kern w:val="0"/>
                <w:sz w:val="20"/>
                <w:szCs w:val="20"/>
                <w:lang w:bidi="ar"/>
              </w:rPr>
              <w:t>《关于开展外汇套期保值业务的议案》</w:t>
            </w:r>
            <w:r>
              <w:rPr>
                <w:rStyle w:val="23"/>
                <w:rFonts w:ascii="仿宋" w:hAnsi="仿宋" w:eastAsia="仿宋"/>
                <w:lang w:bidi="ar"/>
              </w:rPr>
              <w:br w:type="textWrapping"/>
            </w:r>
            <w:r>
              <w:rPr>
                <w:rStyle w:val="23"/>
                <w:rFonts w:ascii="仿宋" w:hAnsi="仿宋" w:eastAsia="仿宋"/>
                <w:lang w:bidi="ar"/>
              </w:rPr>
              <w:t>4.</w:t>
            </w:r>
            <w:r>
              <w:rPr>
                <w:rFonts w:hint="eastAsia" w:ascii="仿宋" w:hAnsi="仿宋" w:eastAsia="仿宋" w:cs="宋体"/>
                <w:color w:val="000000"/>
                <w:kern w:val="0"/>
                <w:sz w:val="20"/>
                <w:szCs w:val="20"/>
                <w:lang w:bidi="ar"/>
              </w:rPr>
              <w:t>《关于制定</w:t>
            </w:r>
            <w:r>
              <w:rPr>
                <w:rStyle w:val="23"/>
                <w:rFonts w:ascii="仿宋" w:hAnsi="仿宋" w:eastAsia="仿宋"/>
                <w:lang w:bidi="ar"/>
              </w:rPr>
              <w:t>&lt;</w:t>
            </w:r>
            <w:r>
              <w:rPr>
                <w:rFonts w:hint="eastAsia" w:ascii="仿宋" w:hAnsi="仿宋" w:eastAsia="仿宋" w:cs="宋体"/>
                <w:color w:val="000000"/>
                <w:kern w:val="0"/>
                <w:sz w:val="20"/>
                <w:szCs w:val="20"/>
                <w:lang w:bidi="ar"/>
              </w:rPr>
              <w:t>会计师事务所选聘制度</w:t>
            </w:r>
            <w:r>
              <w:rPr>
                <w:rStyle w:val="23"/>
                <w:rFonts w:ascii="仿宋" w:hAnsi="仿宋" w:eastAsia="仿宋"/>
                <w:lang w:bidi="ar"/>
              </w:rPr>
              <w:t>&gt;</w:t>
            </w:r>
            <w:r>
              <w:rPr>
                <w:rFonts w:hint="eastAsia" w:ascii="仿宋" w:hAnsi="仿宋" w:eastAsia="仿宋" w:cs="宋体"/>
                <w:color w:val="000000"/>
                <w:kern w:val="0"/>
                <w:sz w:val="20"/>
                <w:szCs w:val="20"/>
                <w:lang w:bidi="ar"/>
              </w:rPr>
              <w:t>的议案》</w:t>
            </w:r>
            <w:r>
              <w:rPr>
                <w:rStyle w:val="23"/>
                <w:rFonts w:ascii="仿宋" w:hAnsi="仿宋" w:eastAsia="仿宋"/>
                <w:lang w:bidi="ar"/>
              </w:rPr>
              <w:br w:type="textWrapping"/>
            </w:r>
            <w:r>
              <w:rPr>
                <w:rStyle w:val="23"/>
                <w:rFonts w:ascii="仿宋" w:hAnsi="仿宋" w:eastAsia="仿宋"/>
                <w:lang w:bidi="ar"/>
              </w:rPr>
              <w:t>5.</w:t>
            </w:r>
            <w:r>
              <w:rPr>
                <w:rFonts w:hint="eastAsia" w:ascii="仿宋" w:hAnsi="仿宋" w:eastAsia="仿宋" w:cs="宋体"/>
                <w:color w:val="000000"/>
                <w:kern w:val="0"/>
                <w:sz w:val="20"/>
                <w:szCs w:val="20"/>
                <w:lang w:bidi="ar"/>
              </w:rPr>
              <w:t>《关于公司</w:t>
            </w:r>
            <w:r>
              <w:rPr>
                <w:rStyle w:val="23"/>
                <w:rFonts w:ascii="仿宋" w:hAnsi="仿宋" w:eastAsia="仿宋"/>
                <w:lang w:bidi="ar"/>
              </w:rPr>
              <w:t>&lt;2024</w:t>
            </w:r>
            <w:r>
              <w:rPr>
                <w:rFonts w:hint="eastAsia" w:ascii="仿宋" w:hAnsi="仿宋" w:eastAsia="仿宋" w:cs="宋体"/>
                <w:color w:val="000000"/>
                <w:kern w:val="0"/>
                <w:sz w:val="20"/>
                <w:szCs w:val="20"/>
                <w:lang w:bidi="ar"/>
              </w:rPr>
              <w:t>年限制性股票激励计划（草案）</w:t>
            </w:r>
            <w:r>
              <w:rPr>
                <w:rStyle w:val="23"/>
                <w:rFonts w:ascii="仿宋" w:hAnsi="仿宋" w:eastAsia="仿宋"/>
                <w:lang w:bidi="ar"/>
              </w:rPr>
              <w:t>&gt;</w:t>
            </w:r>
            <w:r>
              <w:rPr>
                <w:rFonts w:hint="eastAsia" w:ascii="仿宋" w:hAnsi="仿宋" w:eastAsia="仿宋" w:cs="宋体"/>
                <w:color w:val="000000"/>
                <w:kern w:val="0"/>
                <w:sz w:val="20"/>
                <w:szCs w:val="20"/>
                <w:lang w:bidi="ar"/>
              </w:rPr>
              <w:t>及其摘要的议案》</w:t>
            </w:r>
            <w:r>
              <w:rPr>
                <w:rStyle w:val="23"/>
                <w:rFonts w:ascii="仿宋" w:hAnsi="仿宋" w:eastAsia="仿宋"/>
                <w:lang w:bidi="ar"/>
              </w:rPr>
              <w:br w:type="textWrapping"/>
            </w:r>
            <w:r>
              <w:rPr>
                <w:rStyle w:val="23"/>
                <w:rFonts w:ascii="仿宋" w:hAnsi="仿宋" w:eastAsia="仿宋"/>
                <w:lang w:bidi="ar"/>
              </w:rPr>
              <w:t>6.</w:t>
            </w:r>
            <w:r>
              <w:rPr>
                <w:rFonts w:hint="eastAsia" w:ascii="仿宋" w:hAnsi="仿宋" w:eastAsia="仿宋" w:cs="宋体"/>
                <w:color w:val="000000"/>
                <w:kern w:val="0"/>
                <w:sz w:val="20"/>
                <w:szCs w:val="20"/>
                <w:lang w:bidi="ar"/>
              </w:rPr>
              <w:t>《关于公司</w:t>
            </w:r>
            <w:r>
              <w:rPr>
                <w:rStyle w:val="23"/>
                <w:rFonts w:ascii="仿宋" w:hAnsi="仿宋" w:eastAsia="仿宋"/>
                <w:lang w:bidi="ar"/>
              </w:rPr>
              <w:t>&lt;2024</w:t>
            </w:r>
            <w:r>
              <w:rPr>
                <w:rFonts w:hint="eastAsia" w:ascii="仿宋" w:hAnsi="仿宋" w:eastAsia="仿宋" w:cs="宋体"/>
                <w:color w:val="000000"/>
                <w:kern w:val="0"/>
                <w:sz w:val="20"/>
                <w:szCs w:val="20"/>
                <w:lang w:bidi="ar"/>
              </w:rPr>
              <w:t>年限制性股票激励计划实施考核管理办法</w:t>
            </w:r>
            <w:r>
              <w:rPr>
                <w:rStyle w:val="23"/>
                <w:rFonts w:ascii="仿宋" w:hAnsi="仿宋" w:eastAsia="仿宋"/>
                <w:lang w:bidi="ar"/>
              </w:rPr>
              <w:t>&gt;</w:t>
            </w:r>
            <w:r>
              <w:rPr>
                <w:rFonts w:hint="eastAsia" w:ascii="仿宋" w:hAnsi="仿宋" w:eastAsia="仿宋" w:cs="宋体"/>
                <w:color w:val="000000"/>
                <w:kern w:val="0"/>
                <w:sz w:val="20"/>
                <w:szCs w:val="20"/>
                <w:lang w:bidi="ar"/>
              </w:rPr>
              <w:t>的议案》</w:t>
            </w:r>
            <w:r>
              <w:rPr>
                <w:rStyle w:val="23"/>
                <w:rFonts w:ascii="仿宋" w:hAnsi="仿宋" w:eastAsia="仿宋"/>
                <w:lang w:bidi="ar"/>
              </w:rPr>
              <w:br w:type="textWrapping"/>
            </w:r>
            <w:r>
              <w:rPr>
                <w:rStyle w:val="23"/>
                <w:rFonts w:ascii="仿宋" w:hAnsi="仿宋" w:eastAsia="仿宋"/>
                <w:lang w:bidi="ar"/>
              </w:rPr>
              <w:t>7.</w:t>
            </w:r>
            <w:r>
              <w:rPr>
                <w:rFonts w:hint="eastAsia" w:ascii="仿宋" w:hAnsi="仿宋" w:eastAsia="仿宋" w:cs="宋体"/>
                <w:color w:val="000000"/>
                <w:kern w:val="0"/>
                <w:sz w:val="20"/>
                <w:szCs w:val="20"/>
                <w:lang w:bidi="ar"/>
              </w:rPr>
              <w:t>《关于提请股东大会授权董事会办理公司</w:t>
            </w:r>
            <w:r>
              <w:rPr>
                <w:rStyle w:val="23"/>
                <w:rFonts w:ascii="仿宋" w:hAnsi="仿宋" w:eastAsia="仿宋"/>
                <w:lang w:bidi="ar"/>
              </w:rPr>
              <w:t>2024</w:t>
            </w:r>
            <w:r>
              <w:rPr>
                <w:rFonts w:hint="eastAsia" w:ascii="仿宋" w:hAnsi="仿宋" w:eastAsia="仿宋" w:cs="宋体"/>
                <w:color w:val="000000"/>
                <w:kern w:val="0"/>
                <w:sz w:val="20"/>
                <w:szCs w:val="20"/>
                <w:lang w:bidi="ar"/>
              </w:rPr>
              <w:t>年限制性股票激励计划相关事宜的议案》</w:t>
            </w:r>
            <w:r>
              <w:rPr>
                <w:rStyle w:val="23"/>
                <w:rFonts w:ascii="仿宋" w:hAnsi="仿宋" w:eastAsia="仿宋"/>
                <w:lang w:bidi="ar"/>
              </w:rPr>
              <w:br w:type="textWrapping"/>
            </w:r>
            <w:r>
              <w:rPr>
                <w:rStyle w:val="23"/>
                <w:rFonts w:ascii="仿宋" w:hAnsi="仿宋" w:eastAsia="仿宋"/>
                <w:lang w:bidi="ar"/>
              </w:rPr>
              <w:t>8.</w:t>
            </w:r>
            <w:r>
              <w:rPr>
                <w:rFonts w:hint="eastAsia" w:ascii="仿宋" w:hAnsi="仿宋" w:eastAsia="仿宋" w:cs="宋体"/>
                <w:color w:val="000000"/>
                <w:kern w:val="0"/>
                <w:sz w:val="20"/>
                <w:szCs w:val="20"/>
                <w:lang w:bidi="ar"/>
              </w:rPr>
              <w:t>《关于提请召开</w:t>
            </w:r>
            <w:r>
              <w:rPr>
                <w:rStyle w:val="23"/>
                <w:rFonts w:ascii="仿宋" w:hAnsi="仿宋" w:eastAsia="仿宋"/>
                <w:lang w:bidi="ar"/>
              </w:rPr>
              <w:t>2024</w:t>
            </w:r>
            <w:r>
              <w:rPr>
                <w:rFonts w:hint="eastAsia" w:ascii="仿宋" w:hAnsi="仿宋" w:eastAsia="仿宋" w:cs="宋体"/>
                <w:color w:val="000000"/>
                <w:kern w:val="0"/>
                <w:sz w:val="20"/>
                <w:szCs w:val="20"/>
                <w:lang w:bidi="ar"/>
              </w:rPr>
              <w:t>年第一次临时股东大会的议案》</w:t>
            </w:r>
          </w:p>
        </w:tc>
      </w:tr>
      <w:tr w14:paraId="1B13FFA8">
        <w:tblPrEx>
          <w:tblCellMar>
            <w:top w:w="0" w:type="dxa"/>
            <w:left w:w="108" w:type="dxa"/>
            <w:bottom w:w="0" w:type="dxa"/>
            <w:right w:w="108" w:type="dxa"/>
          </w:tblCellMar>
        </w:tblPrEx>
        <w:trPr>
          <w:trHeight w:val="18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C91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F276">
            <w:pPr>
              <w:widowControl/>
              <w:jc w:val="center"/>
              <w:textAlignment w:val="top"/>
              <w:rPr>
                <w:rFonts w:ascii="仿宋" w:hAnsi="仿宋" w:eastAsia="仿宋" w:cs="仿宋"/>
                <w:color w:val="000000"/>
                <w:szCs w:val="21"/>
              </w:rPr>
            </w:pPr>
            <w:r>
              <w:rPr>
                <w:rFonts w:ascii="仿宋" w:hAnsi="仿宋" w:eastAsia="仿宋" w:cs="Times New Roman"/>
                <w:color w:val="000000"/>
                <w:kern w:val="0"/>
                <w:sz w:val="20"/>
                <w:szCs w:val="20"/>
                <w:lang w:bidi="ar"/>
              </w:rPr>
              <w:t>2024.3.5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10C2">
            <w:pPr>
              <w:widowControl/>
              <w:jc w:val="left"/>
              <w:textAlignment w:val="top"/>
              <w:rPr>
                <w:rFonts w:ascii="仿宋" w:hAnsi="仿宋" w:eastAsia="仿宋" w:cs="仿宋"/>
                <w:color w:val="000000"/>
                <w:szCs w:val="21"/>
              </w:rPr>
            </w:pPr>
            <w:r>
              <w:rPr>
                <w:rFonts w:hint="eastAsia" w:ascii="仿宋" w:hAnsi="仿宋" w:eastAsia="仿宋" w:cs="宋体"/>
                <w:color w:val="000000"/>
                <w:kern w:val="0"/>
                <w:sz w:val="20"/>
                <w:szCs w:val="20"/>
                <w:lang w:bidi="ar"/>
              </w:rPr>
              <w:t>第四届第三次会议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077EF2EE">
            <w:pPr>
              <w:widowControl/>
              <w:jc w:val="left"/>
              <w:textAlignment w:val="top"/>
              <w:rPr>
                <w:rFonts w:ascii="仿宋" w:hAnsi="仿宋" w:eastAsia="仿宋" w:cs="仿宋"/>
                <w:color w:val="000000"/>
                <w:szCs w:val="21"/>
              </w:rPr>
            </w:pPr>
            <w:r>
              <w:rPr>
                <w:rStyle w:val="23"/>
                <w:rFonts w:ascii="仿宋" w:hAnsi="仿宋" w:eastAsia="仿宋"/>
                <w:lang w:bidi="ar"/>
              </w:rPr>
              <w:t>1</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《关于调整公司</w:t>
            </w:r>
            <w:r>
              <w:rPr>
                <w:rStyle w:val="23"/>
                <w:rFonts w:ascii="仿宋" w:hAnsi="仿宋" w:eastAsia="仿宋"/>
                <w:lang w:bidi="ar"/>
              </w:rPr>
              <w:t>2024</w:t>
            </w:r>
            <w:r>
              <w:rPr>
                <w:rFonts w:hint="eastAsia" w:ascii="仿宋" w:hAnsi="仿宋" w:eastAsia="仿宋" w:cs="宋体"/>
                <w:color w:val="000000"/>
                <w:kern w:val="0"/>
                <w:sz w:val="20"/>
                <w:szCs w:val="20"/>
                <w:lang w:bidi="ar"/>
              </w:rPr>
              <w:t>年限制性股票激励计划激励对象名单及授予数量的议案》</w:t>
            </w:r>
            <w:r>
              <w:rPr>
                <w:rStyle w:val="23"/>
                <w:rFonts w:ascii="仿宋" w:hAnsi="仿宋" w:eastAsia="仿宋"/>
                <w:lang w:bidi="ar"/>
              </w:rPr>
              <w:br w:type="textWrapping"/>
            </w:r>
            <w:r>
              <w:rPr>
                <w:rStyle w:val="23"/>
                <w:rFonts w:ascii="仿宋" w:hAnsi="仿宋" w:eastAsia="仿宋"/>
                <w:lang w:bidi="ar"/>
              </w:rPr>
              <w:t xml:space="preserve">2 </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《关于向公司</w:t>
            </w:r>
            <w:r>
              <w:rPr>
                <w:rStyle w:val="23"/>
                <w:rFonts w:ascii="仿宋" w:hAnsi="仿宋" w:eastAsia="仿宋"/>
                <w:lang w:bidi="ar"/>
              </w:rPr>
              <w:t>2024</w:t>
            </w:r>
            <w:r>
              <w:rPr>
                <w:rFonts w:hint="eastAsia" w:ascii="仿宋" w:hAnsi="仿宋" w:eastAsia="仿宋" w:cs="宋体"/>
                <w:color w:val="000000"/>
                <w:kern w:val="0"/>
                <w:sz w:val="20"/>
                <w:szCs w:val="20"/>
                <w:lang w:bidi="ar"/>
              </w:rPr>
              <w:t>年限制性股票激励计划激励对象首次授予限制性股票的议案》</w:t>
            </w:r>
            <w:r>
              <w:rPr>
                <w:rStyle w:val="23"/>
                <w:rFonts w:ascii="仿宋" w:hAnsi="仿宋" w:eastAsia="仿宋"/>
                <w:lang w:bidi="ar"/>
              </w:rPr>
              <w:br w:type="textWrapping"/>
            </w:r>
            <w:r>
              <w:rPr>
                <w:rStyle w:val="23"/>
                <w:rFonts w:ascii="仿宋" w:hAnsi="仿宋" w:eastAsia="仿宋"/>
                <w:lang w:bidi="ar"/>
              </w:rPr>
              <w:t>3</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《关于通过北京产权交易所竞购上海长威与南方资产合计持有云变电气</w:t>
            </w:r>
            <w:r>
              <w:rPr>
                <w:rStyle w:val="23"/>
                <w:rFonts w:ascii="仿宋" w:hAnsi="仿宋" w:eastAsia="仿宋"/>
                <w:lang w:bidi="ar"/>
              </w:rPr>
              <w:t>79.97%</w:t>
            </w:r>
            <w:r>
              <w:rPr>
                <w:rFonts w:hint="eastAsia" w:ascii="仿宋" w:hAnsi="仿宋" w:eastAsia="仿宋" w:cs="宋体"/>
                <w:color w:val="000000"/>
                <w:kern w:val="0"/>
                <w:sz w:val="20"/>
                <w:szCs w:val="20"/>
                <w:lang w:bidi="ar"/>
              </w:rPr>
              <w:t>股权的议案》</w:t>
            </w:r>
          </w:p>
        </w:tc>
      </w:tr>
      <w:tr w14:paraId="5C4464B9">
        <w:tblPrEx>
          <w:tblCellMar>
            <w:top w:w="0" w:type="dxa"/>
            <w:left w:w="108" w:type="dxa"/>
            <w:bottom w:w="0" w:type="dxa"/>
            <w:right w:w="108" w:type="dxa"/>
          </w:tblCellMar>
        </w:tblPrEx>
        <w:trPr>
          <w:trHeight w:val="92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92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0B8C">
            <w:pPr>
              <w:widowControl/>
              <w:jc w:val="center"/>
              <w:textAlignment w:val="top"/>
              <w:rPr>
                <w:rFonts w:ascii="仿宋" w:hAnsi="仿宋" w:eastAsia="仿宋" w:cs="仿宋"/>
                <w:color w:val="000000"/>
                <w:szCs w:val="21"/>
              </w:rPr>
            </w:pPr>
            <w:r>
              <w:rPr>
                <w:rFonts w:ascii="仿宋" w:hAnsi="仿宋" w:eastAsia="仿宋" w:cs="Times New Roman"/>
                <w:color w:val="000000"/>
                <w:kern w:val="0"/>
                <w:sz w:val="20"/>
                <w:szCs w:val="20"/>
                <w:lang w:bidi="ar"/>
              </w:rPr>
              <w:t>2024.3.28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014C">
            <w:pPr>
              <w:widowControl/>
              <w:jc w:val="left"/>
              <w:textAlignment w:val="top"/>
              <w:rPr>
                <w:rFonts w:ascii="仿宋" w:hAnsi="仿宋" w:eastAsia="仿宋" w:cs="仿宋"/>
                <w:color w:val="000000"/>
                <w:szCs w:val="21"/>
              </w:rPr>
            </w:pPr>
            <w:r>
              <w:rPr>
                <w:rFonts w:hint="eastAsia" w:ascii="仿宋" w:hAnsi="仿宋" w:eastAsia="仿宋" w:cs="宋体"/>
                <w:color w:val="000000"/>
                <w:kern w:val="0"/>
                <w:sz w:val="20"/>
                <w:szCs w:val="20"/>
                <w:lang w:bidi="ar"/>
              </w:rPr>
              <w:t>第四届第四次会议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67084B57">
            <w:pPr>
              <w:widowControl/>
              <w:jc w:val="left"/>
              <w:textAlignment w:val="top"/>
              <w:rPr>
                <w:rFonts w:ascii="仿宋" w:hAnsi="仿宋" w:eastAsia="仿宋" w:cs="仿宋"/>
                <w:color w:val="000000"/>
                <w:szCs w:val="21"/>
              </w:rPr>
            </w:pPr>
            <w:r>
              <w:rPr>
                <w:rStyle w:val="23"/>
                <w:rFonts w:ascii="仿宋" w:hAnsi="仿宋" w:eastAsia="仿宋"/>
                <w:lang w:bidi="ar"/>
              </w:rPr>
              <w:t>1</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《关于对外捐赠的议案》</w:t>
            </w:r>
          </w:p>
        </w:tc>
      </w:tr>
      <w:tr w14:paraId="50DA2847">
        <w:tblPrEx>
          <w:tblCellMar>
            <w:top w:w="0" w:type="dxa"/>
            <w:left w:w="108" w:type="dxa"/>
            <w:bottom w:w="0" w:type="dxa"/>
            <w:right w:w="108" w:type="dxa"/>
          </w:tblCellMar>
        </w:tblPrEx>
        <w:trPr>
          <w:trHeight w:val="191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8A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77F">
            <w:pPr>
              <w:widowControl/>
              <w:jc w:val="center"/>
              <w:textAlignment w:val="top"/>
              <w:rPr>
                <w:rFonts w:ascii="仿宋" w:hAnsi="仿宋" w:eastAsia="仿宋" w:cs="仿宋"/>
                <w:color w:val="000000"/>
                <w:szCs w:val="21"/>
              </w:rPr>
            </w:pPr>
            <w:r>
              <w:rPr>
                <w:rFonts w:ascii="仿宋" w:hAnsi="仿宋" w:eastAsia="仿宋" w:cs="Times New Roman"/>
                <w:color w:val="000000"/>
                <w:kern w:val="0"/>
                <w:sz w:val="20"/>
                <w:szCs w:val="20"/>
                <w:lang w:bidi="ar"/>
              </w:rPr>
              <w:t>2024.4.24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96E4">
            <w:pPr>
              <w:widowControl/>
              <w:jc w:val="left"/>
              <w:textAlignment w:val="top"/>
              <w:rPr>
                <w:rFonts w:ascii="仿宋" w:hAnsi="仿宋" w:eastAsia="仿宋" w:cs="仿宋"/>
                <w:color w:val="000000"/>
                <w:szCs w:val="21"/>
              </w:rPr>
            </w:pPr>
            <w:r>
              <w:rPr>
                <w:rFonts w:hint="eastAsia" w:ascii="仿宋" w:hAnsi="仿宋" w:eastAsia="仿宋" w:cs="宋体"/>
                <w:color w:val="000000"/>
                <w:kern w:val="0"/>
                <w:sz w:val="20"/>
                <w:szCs w:val="20"/>
                <w:lang w:bidi="ar"/>
              </w:rPr>
              <w:t>第四届第五次会议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26B83F26">
            <w:pPr>
              <w:widowControl/>
              <w:jc w:val="left"/>
              <w:textAlignment w:val="top"/>
              <w:rPr>
                <w:rFonts w:ascii="仿宋" w:hAnsi="仿宋" w:eastAsia="仿宋" w:cs="仿宋"/>
                <w:color w:val="000000"/>
                <w:szCs w:val="21"/>
              </w:rPr>
            </w:pPr>
            <w:r>
              <w:rPr>
                <w:rStyle w:val="23"/>
                <w:rFonts w:ascii="仿宋" w:hAnsi="仿宋" w:eastAsia="仿宋"/>
                <w:lang w:bidi="ar"/>
              </w:rPr>
              <w:t>1</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年度总经理工作报告的议案》</w:t>
            </w:r>
            <w:r>
              <w:rPr>
                <w:rStyle w:val="23"/>
                <w:rFonts w:ascii="仿宋" w:hAnsi="仿宋" w:eastAsia="仿宋"/>
                <w:lang w:bidi="ar"/>
              </w:rPr>
              <w:t xml:space="preserve">                         </w:t>
            </w:r>
            <w:r>
              <w:rPr>
                <w:rStyle w:val="23"/>
                <w:rFonts w:ascii="仿宋" w:hAnsi="仿宋" w:eastAsia="仿宋"/>
                <w:lang w:bidi="ar"/>
              </w:rPr>
              <w:br w:type="textWrapping"/>
            </w:r>
            <w:r>
              <w:rPr>
                <w:rStyle w:val="23"/>
                <w:rFonts w:ascii="仿宋" w:hAnsi="仿宋" w:eastAsia="仿宋"/>
                <w:lang w:bidi="ar"/>
              </w:rPr>
              <w:t>2</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年度董事会工作报告的议案》</w:t>
            </w:r>
            <w:r>
              <w:rPr>
                <w:rStyle w:val="23"/>
                <w:rFonts w:ascii="仿宋" w:hAnsi="仿宋" w:eastAsia="仿宋"/>
                <w:lang w:bidi="ar"/>
              </w:rPr>
              <w:br w:type="textWrapping"/>
            </w:r>
            <w:r>
              <w:rPr>
                <w:rStyle w:val="23"/>
                <w:rFonts w:ascii="仿宋" w:hAnsi="仿宋" w:eastAsia="仿宋"/>
                <w:lang w:bidi="ar"/>
              </w:rPr>
              <w:t>3</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年度审计委员会履职报告的议案》</w:t>
            </w:r>
            <w:r>
              <w:rPr>
                <w:rStyle w:val="23"/>
                <w:rFonts w:ascii="仿宋" w:hAnsi="仿宋" w:eastAsia="仿宋"/>
                <w:lang w:bidi="ar"/>
              </w:rPr>
              <w:br w:type="textWrapping"/>
            </w:r>
            <w:r>
              <w:rPr>
                <w:rStyle w:val="23"/>
                <w:rFonts w:ascii="仿宋" w:hAnsi="仿宋" w:eastAsia="仿宋"/>
                <w:lang w:bidi="ar"/>
              </w:rPr>
              <w:t>4</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年度财务决算报告的议案》</w:t>
            </w:r>
            <w:r>
              <w:rPr>
                <w:rStyle w:val="23"/>
                <w:rFonts w:ascii="仿宋" w:hAnsi="仿宋" w:eastAsia="仿宋"/>
                <w:lang w:bidi="ar"/>
              </w:rPr>
              <w:br w:type="textWrapping"/>
            </w:r>
            <w:r>
              <w:rPr>
                <w:rStyle w:val="23"/>
                <w:rFonts w:ascii="仿宋" w:hAnsi="仿宋" w:eastAsia="仿宋"/>
                <w:lang w:bidi="ar"/>
              </w:rPr>
              <w:t>5</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2024</w:t>
            </w:r>
            <w:r>
              <w:rPr>
                <w:rFonts w:hint="eastAsia" w:ascii="仿宋" w:hAnsi="仿宋" w:eastAsia="仿宋" w:cs="宋体"/>
                <w:color w:val="000000"/>
                <w:kern w:val="0"/>
                <w:sz w:val="20"/>
                <w:szCs w:val="20"/>
                <w:lang w:bidi="ar"/>
              </w:rPr>
              <w:t>年度财务预算报告的议案》</w:t>
            </w:r>
            <w:r>
              <w:rPr>
                <w:rStyle w:val="23"/>
                <w:rFonts w:ascii="仿宋" w:hAnsi="仿宋" w:eastAsia="仿宋"/>
                <w:lang w:bidi="ar"/>
              </w:rPr>
              <w:br w:type="textWrapping"/>
            </w:r>
            <w:r>
              <w:rPr>
                <w:rStyle w:val="23"/>
                <w:rFonts w:ascii="仿宋" w:hAnsi="仿宋" w:eastAsia="仿宋"/>
                <w:lang w:bidi="ar"/>
              </w:rPr>
              <w:t>6</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年度利润分配方案的议案》</w:t>
            </w:r>
            <w:r>
              <w:rPr>
                <w:rStyle w:val="23"/>
                <w:rFonts w:ascii="仿宋" w:hAnsi="仿宋" w:eastAsia="仿宋"/>
                <w:lang w:bidi="ar"/>
              </w:rPr>
              <w:br w:type="textWrapping"/>
            </w:r>
            <w:r>
              <w:rPr>
                <w:rStyle w:val="23"/>
                <w:rFonts w:ascii="仿宋" w:hAnsi="仿宋" w:eastAsia="仿宋"/>
                <w:lang w:bidi="ar"/>
              </w:rPr>
              <w:t>7</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《关于审议</w:t>
            </w:r>
            <w:r>
              <w:rPr>
                <w:rStyle w:val="23"/>
                <w:rFonts w:ascii="仿宋" w:hAnsi="仿宋" w:eastAsia="仿宋"/>
                <w:lang w:bidi="ar"/>
              </w:rPr>
              <w:t>2024</w:t>
            </w:r>
            <w:r>
              <w:rPr>
                <w:rFonts w:hint="eastAsia" w:ascii="仿宋" w:hAnsi="仿宋" w:eastAsia="仿宋" w:cs="宋体"/>
                <w:color w:val="000000"/>
                <w:kern w:val="0"/>
                <w:sz w:val="20"/>
                <w:szCs w:val="20"/>
                <w:lang w:bidi="ar"/>
              </w:rPr>
              <w:t>年度高级管理人员薪酬的议案》</w:t>
            </w:r>
            <w:r>
              <w:rPr>
                <w:rStyle w:val="23"/>
                <w:rFonts w:ascii="仿宋" w:hAnsi="仿宋" w:eastAsia="仿宋"/>
                <w:lang w:bidi="ar"/>
              </w:rPr>
              <w:br w:type="textWrapping"/>
            </w:r>
            <w:r>
              <w:rPr>
                <w:rStyle w:val="23"/>
                <w:rFonts w:ascii="仿宋" w:hAnsi="仿宋" w:eastAsia="仿宋"/>
                <w:lang w:bidi="ar"/>
              </w:rPr>
              <w:t>8</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《关于审议</w:t>
            </w:r>
            <w:r>
              <w:rPr>
                <w:rStyle w:val="23"/>
                <w:rFonts w:ascii="仿宋" w:hAnsi="仿宋" w:eastAsia="仿宋"/>
                <w:lang w:bidi="ar"/>
              </w:rPr>
              <w:t>2024</w:t>
            </w:r>
            <w:r>
              <w:rPr>
                <w:rFonts w:hint="eastAsia" w:ascii="仿宋" w:hAnsi="仿宋" w:eastAsia="仿宋" w:cs="宋体"/>
                <w:color w:val="000000"/>
                <w:kern w:val="0"/>
                <w:sz w:val="20"/>
                <w:szCs w:val="20"/>
                <w:lang w:bidi="ar"/>
              </w:rPr>
              <w:t>年度董事薪酬的议案》</w:t>
            </w:r>
            <w:r>
              <w:rPr>
                <w:rStyle w:val="23"/>
                <w:rFonts w:ascii="仿宋" w:hAnsi="仿宋" w:eastAsia="仿宋"/>
                <w:lang w:bidi="ar"/>
              </w:rPr>
              <w:br w:type="textWrapping"/>
            </w:r>
            <w:r>
              <w:rPr>
                <w:rStyle w:val="23"/>
                <w:rFonts w:ascii="仿宋" w:hAnsi="仿宋" w:eastAsia="仿宋"/>
                <w:lang w:bidi="ar"/>
              </w:rPr>
              <w:t>9</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年年度报告全文及其摘要的议案》</w:t>
            </w:r>
            <w:r>
              <w:rPr>
                <w:rStyle w:val="23"/>
                <w:rFonts w:ascii="仿宋" w:hAnsi="仿宋" w:eastAsia="仿宋"/>
                <w:lang w:bidi="ar"/>
              </w:rPr>
              <w:br w:type="textWrapping"/>
            </w:r>
            <w:r>
              <w:rPr>
                <w:rStyle w:val="23"/>
                <w:rFonts w:ascii="仿宋" w:hAnsi="仿宋" w:eastAsia="仿宋"/>
                <w:lang w:bidi="ar"/>
              </w:rPr>
              <w:t>10</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年度内部控制自我评价报告的议案》</w:t>
            </w:r>
            <w:r>
              <w:rPr>
                <w:rStyle w:val="23"/>
                <w:rFonts w:ascii="仿宋" w:hAnsi="仿宋" w:eastAsia="仿宋"/>
                <w:lang w:bidi="ar"/>
              </w:rPr>
              <w:br w:type="textWrapping"/>
            </w:r>
            <w:r>
              <w:rPr>
                <w:rStyle w:val="23"/>
                <w:rFonts w:ascii="仿宋" w:hAnsi="仿宋" w:eastAsia="仿宋"/>
                <w:lang w:bidi="ar"/>
              </w:rPr>
              <w:t>11</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年度独立董事述职报告的议案》</w:t>
            </w:r>
            <w:r>
              <w:rPr>
                <w:rStyle w:val="23"/>
                <w:rFonts w:ascii="仿宋" w:hAnsi="仿宋" w:eastAsia="仿宋"/>
                <w:lang w:bidi="ar"/>
              </w:rPr>
              <w:br w:type="textWrapping"/>
            </w:r>
            <w:r>
              <w:rPr>
                <w:rStyle w:val="23"/>
                <w:rFonts w:ascii="仿宋" w:hAnsi="仿宋" w:eastAsia="仿宋"/>
                <w:lang w:bidi="ar"/>
              </w:rPr>
              <w:t>12</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2023</w:t>
            </w:r>
            <w:r>
              <w:rPr>
                <w:rFonts w:hint="eastAsia" w:ascii="仿宋" w:hAnsi="仿宋" w:eastAsia="仿宋" w:cs="宋体"/>
                <w:color w:val="000000"/>
                <w:kern w:val="0"/>
                <w:sz w:val="20"/>
                <w:szCs w:val="20"/>
                <w:lang w:bidi="ar"/>
              </w:rPr>
              <w:t>年度募集资金存放与使用情况的专项报告的议案》</w:t>
            </w:r>
            <w:r>
              <w:rPr>
                <w:rStyle w:val="23"/>
                <w:rFonts w:ascii="仿宋" w:hAnsi="仿宋" w:eastAsia="仿宋"/>
                <w:lang w:bidi="ar"/>
              </w:rPr>
              <w:br w:type="textWrapping"/>
            </w:r>
            <w:r>
              <w:rPr>
                <w:rStyle w:val="23"/>
                <w:rFonts w:ascii="仿宋" w:hAnsi="仿宋" w:eastAsia="仿宋"/>
                <w:lang w:bidi="ar"/>
              </w:rPr>
              <w:t>13</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《关于制定并修订公司内部管理制度的议案》</w:t>
            </w:r>
            <w:r>
              <w:rPr>
                <w:rStyle w:val="23"/>
                <w:rFonts w:ascii="仿宋" w:hAnsi="仿宋" w:eastAsia="仿宋"/>
                <w:lang w:bidi="ar"/>
              </w:rPr>
              <w:br w:type="textWrapping"/>
            </w:r>
            <w:r>
              <w:rPr>
                <w:rStyle w:val="23"/>
                <w:rFonts w:ascii="仿宋" w:hAnsi="仿宋" w:eastAsia="仿宋"/>
                <w:lang w:bidi="ar"/>
              </w:rPr>
              <w:t>14</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《关于会计师事务所履职情况评估报告的议案》</w:t>
            </w:r>
            <w:r>
              <w:rPr>
                <w:rStyle w:val="23"/>
                <w:rFonts w:ascii="仿宋" w:hAnsi="仿宋" w:eastAsia="仿宋"/>
                <w:lang w:bidi="ar"/>
              </w:rPr>
              <w:br w:type="textWrapping"/>
            </w:r>
            <w:r>
              <w:rPr>
                <w:rStyle w:val="23"/>
                <w:rFonts w:ascii="仿宋" w:hAnsi="仿宋" w:eastAsia="仿宋"/>
                <w:lang w:bidi="ar"/>
              </w:rPr>
              <w:t>15</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2024</w:t>
            </w:r>
            <w:r>
              <w:rPr>
                <w:rFonts w:hint="eastAsia" w:ascii="仿宋" w:hAnsi="仿宋" w:eastAsia="仿宋" w:cs="宋体"/>
                <w:color w:val="000000"/>
                <w:kern w:val="0"/>
                <w:sz w:val="20"/>
                <w:szCs w:val="20"/>
                <w:lang w:bidi="ar"/>
              </w:rPr>
              <w:t>年第一季度报告的议案》</w:t>
            </w:r>
            <w:r>
              <w:rPr>
                <w:rStyle w:val="23"/>
                <w:rFonts w:ascii="仿宋" w:hAnsi="仿宋" w:eastAsia="仿宋"/>
                <w:lang w:bidi="ar"/>
              </w:rPr>
              <w:br w:type="textWrapping"/>
            </w:r>
            <w:r>
              <w:rPr>
                <w:rStyle w:val="23"/>
                <w:rFonts w:ascii="仿宋" w:hAnsi="仿宋" w:eastAsia="仿宋"/>
                <w:lang w:bidi="ar"/>
              </w:rPr>
              <w:t>16</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《关于使用部分闲置募集资金进行现金管理的议案》</w:t>
            </w:r>
            <w:r>
              <w:rPr>
                <w:rStyle w:val="23"/>
                <w:rFonts w:ascii="仿宋" w:hAnsi="仿宋" w:eastAsia="仿宋"/>
                <w:lang w:bidi="ar"/>
              </w:rPr>
              <w:br w:type="textWrapping"/>
            </w:r>
            <w:r>
              <w:rPr>
                <w:rStyle w:val="23"/>
                <w:rFonts w:ascii="仿宋" w:hAnsi="仿宋" w:eastAsia="仿宋"/>
                <w:lang w:bidi="ar"/>
              </w:rPr>
              <w:t>17</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《关于为子公司云南变压器电气股份有限公司申请授信提供担保的议案》</w:t>
            </w:r>
            <w:r>
              <w:rPr>
                <w:rStyle w:val="23"/>
                <w:rFonts w:ascii="仿宋" w:hAnsi="仿宋" w:eastAsia="仿宋"/>
                <w:lang w:bidi="ar"/>
              </w:rPr>
              <w:br w:type="textWrapping"/>
            </w:r>
            <w:r>
              <w:rPr>
                <w:rStyle w:val="23"/>
                <w:rFonts w:ascii="仿宋" w:hAnsi="仿宋" w:eastAsia="仿宋"/>
                <w:lang w:bidi="ar"/>
              </w:rPr>
              <w:t>18</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《关于聘任公司副总经理的议案》</w:t>
            </w:r>
            <w:r>
              <w:rPr>
                <w:rStyle w:val="23"/>
                <w:rFonts w:ascii="仿宋" w:hAnsi="仿宋" w:eastAsia="仿宋"/>
                <w:lang w:bidi="ar"/>
              </w:rPr>
              <w:br w:type="textWrapping"/>
            </w:r>
            <w:r>
              <w:rPr>
                <w:rStyle w:val="23"/>
                <w:rFonts w:ascii="仿宋" w:hAnsi="仿宋" w:eastAsia="仿宋"/>
                <w:lang w:bidi="ar"/>
              </w:rPr>
              <w:t>19</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《关于提请召开</w:t>
            </w:r>
            <w:r>
              <w:rPr>
                <w:rStyle w:val="23"/>
                <w:rFonts w:ascii="仿宋" w:hAnsi="仿宋" w:eastAsia="仿宋"/>
                <w:lang w:bidi="ar"/>
              </w:rPr>
              <w:t>2023</w:t>
            </w:r>
            <w:r>
              <w:rPr>
                <w:rFonts w:hint="eastAsia" w:ascii="仿宋" w:hAnsi="仿宋" w:eastAsia="仿宋" w:cs="宋体"/>
                <w:color w:val="000000"/>
                <w:kern w:val="0"/>
                <w:sz w:val="20"/>
                <w:szCs w:val="20"/>
                <w:lang w:bidi="ar"/>
              </w:rPr>
              <w:t>年年度股东大会的议案》</w:t>
            </w:r>
          </w:p>
        </w:tc>
      </w:tr>
      <w:tr w14:paraId="13B518C2">
        <w:tblPrEx>
          <w:tblCellMar>
            <w:top w:w="0" w:type="dxa"/>
            <w:left w:w="108" w:type="dxa"/>
            <w:bottom w:w="0" w:type="dxa"/>
            <w:right w:w="108" w:type="dxa"/>
          </w:tblCellMar>
        </w:tblPrEx>
        <w:trPr>
          <w:trHeight w:val="5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2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D366">
            <w:pPr>
              <w:widowControl/>
              <w:jc w:val="center"/>
              <w:textAlignment w:val="top"/>
              <w:rPr>
                <w:rFonts w:ascii="仿宋" w:hAnsi="仿宋" w:eastAsia="仿宋" w:cs="仿宋"/>
                <w:color w:val="000000"/>
                <w:szCs w:val="21"/>
              </w:rPr>
            </w:pPr>
            <w:r>
              <w:rPr>
                <w:rFonts w:ascii="仿宋" w:hAnsi="仿宋" w:eastAsia="仿宋" w:cs="Times New Roman"/>
                <w:color w:val="000000"/>
                <w:kern w:val="0"/>
                <w:sz w:val="20"/>
                <w:szCs w:val="20"/>
                <w:lang w:bidi="ar"/>
              </w:rPr>
              <w:t>2024.5.23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7CE">
            <w:pPr>
              <w:widowControl/>
              <w:jc w:val="left"/>
              <w:textAlignment w:val="top"/>
              <w:rPr>
                <w:rFonts w:ascii="仿宋" w:hAnsi="仿宋" w:eastAsia="仿宋" w:cs="仿宋"/>
                <w:color w:val="000000"/>
                <w:szCs w:val="21"/>
              </w:rPr>
            </w:pPr>
            <w:r>
              <w:rPr>
                <w:rFonts w:hint="eastAsia" w:ascii="仿宋" w:hAnsi="仿宋" w:eastAsia="仿宋" w:cs="宋体"/>
                <w:color w:val="000000"/>
                <w:kern w:val="0"/>
                <w:sz w:val="20"/>
                <w:szCs w:val="20"/>
                <w:lang w:bidi="ar"/>
              </w:rPr>
              <w:t>第四届第六次会议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4202C31C">
            <w:pPr>
              <w:widowControl/>
              <w:jc w:val="left"/>
              <w:textAlignment w:val="top"/>
              <w:rPr>
                <w:rFonts w:ascii="仿宋" w:hAnsi="仿宋" w:eastAsia="仿宋" w:cs="仿宋"/>
                <w:color w:val="000000"/>
                <w:szCs w:val="21"/>
              </w:rPr>
            </w:pPr>
            <w:r>
              <w:rPr>
                <w:rStyle w:val="23"/>
                <w:rFonts w:ascii="仿宋" w:hAnsi="仿宋" w:eastAsia="仿宋"/>
                <w:lang w:bidi="ar"/>
              </w:rPr>
              <w:t>1</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《关于使用部分闲置自有资金进行现金管理的议案》</w:t>
            </w:r>
          </w:p>
        </w:tc>
      </w:tr>
      <w:tr w14:paraId="04A7907A">
        <w:tblPrEx>
          <w:tblCellMar>
            <w:top w:w="0" w:type="dxa"/>
            <w:left w:w="108" w:type="dxa"/>
            <w:bottom w:w="0" w:type="dxa"/>
            <w:right w:w="108" w:type="dxa"/>
          </w:tblCellMar>
        </w:tblPrEx>
        <w:trPr>
          <w:trHeight w:val="12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E438">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0F5B">
            <w:pPr>
              <w:widowControl/>
              <w:jc w:val="center"/>
              <w:textAlignment w:val="top"/>
              <w:rPr>
                <w:rFonts w:ascii="仿宋" w:hAnsi="仿宋" w:eastAsia="仿宋" w:cs="仿宋"/>
                <w:color w:val="000000"/>
                <w:kern w:val="0"/>
                <w:szCs w:val="21"/>
                <w:lang w:bidi="ar"/>
              </w:rPr>
            </w:pPr>
            <w:r>
              <w:rPr>
                <w:rFonts w:ascii="仿宋" w:hAnsi="仿宋" w:eastAsia="仿宋" w:cs="Times New Roman"/>
                <w:color w:val="000000"/>
                <w:kern w:val="0"/>
                <w:sz w:val="20"/>
                <w:szCs w:val="20"/>
                <w:lang w:bidi="ar"/>
              </w:rPr>
              <w:t>2024.08.28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8FED">
            <w:pPr>
              <w:widowControl/>
              <w:jc w:val="left"/>
              <w:textAlignment w:val="top"/>
              <w:rPr>
                <w:rFonts w:ascii="仿宋" w:hAnsi="仿宋" w:eastAsia="仿宋" w:cs="仿宋"/>
                <w:color w:val="000000"/>
                <w:kern w:val="0"/>
                <w:szCs w:val="21"/>
                <w:lang w:bidi="ar"/>
              </w:rPr>
            </w:pPr>
            <w:r>
              <w:rPr>
                <w:rFonts w:hint="eastAsia" w:ascii="仿宋" w:hAnsi="仿宋" w:eastAsia="仿宋" w:cs="宋体"/>
                <w:color w:val="000000"/>
                <w:kern w:val="0"/>
                <w:sz w:val="20"/>
                <w:szCs w:val="20"/>
                <w:lang w:bidi="ar"/>
              </w:rPr>
              <w:t>第四届第七次会议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3014102B">
            <w:pPr>
              <w:widowControl/>
              <w:jc w:val="left"/>
              <w:textAlignment w:val="top"/>
              <w:rPr>
                <w:rStyle w:val="15"/>
                <w:rFonts w:ascii="仿宋" w:hAnsi="仿宋" w:eastAsia="仿宋" w:cs="仿宋"/>
                <w:sz w:val="21"/>
                <w:szCs w:val="21"/>
                <w:lang w:bidi="ar"/>
              </w:rPr>
            </w:pPr>
            <w:r>
              <w:rPr>
                <w:rStyle w:val="23"/>
                <w:rFonts w:ascii="仿宋" w:hAnsi="仿宋" w:eastAsia="仿宋"/>
                <w:lang w:bidi="ar"/>
              </w:rPr>
              <w:t>1</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《关于公司</w:t>
            </w:r>
            <w:r>
              <w:rPr>
                <w:rStyle w:val="23"/>
                <w:rFonts w:ascii="仿宋" w:hAnsi="仿宋" w:eastAsia="仿宋"/>
                <w:lang w:bidi="ar"/>
              </w:rPr>
              <w:t>&lt;2024</w:t>
            </w:r>
            <w:r>
              <w:rPr>
                <w:rFonts w:hint="eastAsia" w:ascii="仿宋" w:hAnsi="仿宋" w:eastAsia="仿宋" w:cs="宋体"/>
                <w:color w:val="000000"/>
                <w:kern w:val="0"/>
                <w:sz w:val="20"/>
                <w:szCs w:val="20"/>
                <w:lang w:bidi="ar"/>
              </w:rPr>
              <w:t>年半年度报告</w:t>
            </w:r>
            <w:r>
              <w:rPr>
                <w:rStyle w:val="23"/>
                <w:rFonts w:ascii="仿宋" w:hAnsi="仿宋" w:eastAsia="仿宋"/>
                <w:lang w:bidi="ar"/>
              </w:rPr>
              <w:t>&gt;</w:t>
            </w:r>
            <w:r>
              <w:rPr>
                <w:rFonts w:hint="eastAsia" w:ascii="仿宋" w:hAnsi="仿宋" w:eastAsia="仿宋" w:cs="宋体"/>
                <w:color w:val="000000"/>
                <w:kern w:val="0"/>
                <w:sz w:val="20"/>
                <w:szCs w:val="20"/>
                <w:lang w:bidi="ar"/>
              </w:rPr>
              <w:t>及其摘要的议案》</w:t>
            </w:r>
            <w:r>
              <w:rPr>
                <w:rStyle w:val="23"/>
                <w:rFonts w:ascii="仿宋" w:hAnsi="仿宋" w:eastAsia="仿宋"/>
                <w:lang w:bidi="ar"/>
              </w:rPr>
              <w:br w:type="textWrapping"/>
            </w:r>
            <w:r>
              <w:rPr>
                <w:rStyle w:val="23"/>
                <w:rFonts w:ascii="仿宋" w:hAnsi="仿宋" w:eastAsia="仿宋"/>
                <w:lang w:bidi="ar"/>
              </w:rPr>
              <w:t>2</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《关于公司</w:t>
            </w:r>
            <w:r>
              <w:rPr>
                <w:rStyle w:val="23"/>
                <w:rFonts w:ascii="仿宋" w:hAnsi="仿宋" w:eastAsia="仿宋"/>
                <w:lang w:bidi="ar"/>
              </w:rPr>
              <w:t>&lt;2024</w:t>
            </w:r>
            <w:r>
              <w:rPr>
                <w:rFonts w:hint="eastAsia" w:ascii="仿宋" w:hAnsi="仿宋" w:eastAsia="仿宋" w:cs="宋体"/>
                <w:color w:val="000000"/>
                <w:kern w:val="0"/>
                <w:sz w:val="20"/>
                <w:szCs w:val="20"/>
                <w:lang w:bidi="ar"/>
              </w:rPr>
              <w:t>年半年度募集资金存放与使用情况的专项报告</w:t>
            </w:r>
            <w:r>
              <w:rPr>
                <w:rStyle w:val="23"/>
                <w:rFonts w:ascii="仿宋" w:hAnsi="仿宋" w:eastAsia="仿宋"/>
                <w:lang w:bidi="ar"/>
              </w:rPr>
              <w:t>&gt;</w:t>
            </w:r>
            <w:r>
              <w:rPr>
                <w:rFonts w:hint="eastAsia" w:ascii="仿宋" w:hAnsi="仿宋" w:eastAsia="仿宋" w:cs="宋体"/>
                <w:color w:val="000000"/>
                <w:kern w:val="0"/>
                <w:sz w:val="20"/>
                <w:szCs w:val="20"/>
                <w:lang w:bidi="ar"/>
              </w:rPr>
              <w:t>的议案》</w:t>
            </w:r>
            <w:r>
              <w:rPr>
                <w:rStyle w:val="23"/>
                <w:rFonts w:ascii="仿宋" w:hAnsi="仿宋" w:eastAsia="仿宋"/>
                <w:lang w:bidi="ar"/>
              </w:rPr>
              <w:br w:type="textWrapping"/>
            </w:r>
            <w:r>
              <w:rPr>
                <w:rStyle w:val="23"/>
                <w:rFonts w:ascii="仿宋" w:hAnsi="仿宋" w:eastAsia="仿宋"/>
                <w:lang w:bidi="ar"/>
              </w:rPr>
              <w:t>3</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《关于变更会计师事务所的议案》</w:t>
            </w:r>
            <w:r>
              <w:rPr>
                <w:rStyle w:val="23"/>
                <w:rFonts w:ascii="仿宋" w:hAnsi="仿宋" w:eastAsia="仿宋"/>
                <w:lang w:bidi="ar"/>
              </w:rPr>
              <w:br w:type="textWrapping"/>
            </w:r>
            <w:r>
              <w:rPr>
                <w:rStyle w:val="23"/>
                <w:rFonts w:ascii="仿宋" w:hAnsi="仿宋" w:eastAsia="仿宋"/>
                <w:lang w:bidi="ar"/>
              </w:rPr>
              <w:t>4</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《关于修改</w:t>
            </w:r>
            <w:r>
              <w:rPr>
                <w:rStyle w:val="23"/>
                <w:rFonts w:ascii="仿宋" w:hAnsi="仿宋" w:eastAsia="仿宋"/>
                <w:lang w:bidi="ar"/>
              </w:rPr>
              <w:t>&lt;</w:t>
            </w:r>
            <w:r>
              <w:rPr>
                <w:rFonts w:hint="eastAsia" w:ascii="仿宋" w:hAnsi="仿宋" w:eastAsia="仿宋" w:cs="宋体"/>
                <w:color w:val="000000"/>
                <w:kern w:val="0"/>
                <w:sz w:val="20"/>
                <w:szCs w:val="20"/>
                <w:lang w:bidi="ar"/>
              </w:rPr>
              <w:t>公司章程</w:t>
            </w:r>
            <w:r>
              <w:rPr>
                <w:rStyle w:val="23"/>
                <w:rFonts w:ascii="仿宋" w:hAnsi="仿宋" w:eastAsia="仿宋"/>
                <w:lang w:bidi="ar"/>
              </w:rPr>
              <w:t>&gt;</w:t>
            </w:r>
            <w:r>
              <w:rPr>
                <w:rFonts w:hint="eastAsia" w:ascii="仿宋" w:hAnsi="仿宋" w:eastAsia="仿宋" w:cs="宋体"/>
                <w:color w:val="000000"/>
                <w:kern w:val="0"/>
                <w:sz w:val="20"/>
                <w:szCs w:val="20"/>
                <w:lang w:bidi="ar"/>
              </w:rPr>
              <w:t>及三会议事规则的议案》</w:t>
            </w:r>
            <w:r>
              <w:rPr>
                <w:rStyle w:val="23"/>
                <w:rFonts w:ascii="仿宋" w:hAnsi="仿宋" w:eastAsia="仿宋"/>
                <w:lang w:bidi="ar"/>
              </w:rPr>
              <w:br w:type="textWrapping"/>
            </w:r>
            <w:r>
              <w:rPr>
                <w:rStyle w:val="23"/>
                <w:rFonts w:ascii="仿宋" w:hAnsi="仿宋" w:eastAsia="仿宋"/>
                <w:lang w:bidi="ar"/>
              </w:rPr>
              <w:t>5</w:t>
            </w:r>
            <w:r>
              <w:rPr>
                <w:rStyle w:val="23"/>
                <w:rFonts w:hint="eastAsia" w:ascii="仿宋" w:hAnsi="仿宋" w:eastAsia="仿宋"/>
                <w:lang w:bidi="ar"/>
              </w:rPr>
              <w:t>.</w:t>
            </w:r>
            <w:r>
              <w:rPr>
                <w:rStyle w:val="23"/>
                <w:rFonts w:ascii="仿宋" w:hAnsi="仿宋" w:eastAsia="仿宋"/>
                <w:lang w:bidi="ar"/>
              </w:rPr>
              <w:t xml:space="preserve"> </w:t>
            </w:r>
            <w:r>
              <w:rPr>
                <w:rFonts w:hint="eastAsia" w:ascii="仿宋" w:hAnsi="仿宋" w:eastAsia="仿宋" w:cs="宋体"/>
                <w:color w:val="000000"/>
                <w:kern w:val="0"/>
                <w:sz w:val="20"/>
                <w:szCs w:val="20"/>
                <w:lang w:bidi="ar"/>
              </w:rPr>
              <w:t>《关于提请召开公司</w:t>
            </w:r>
            <w:r>
              <w:rPr>
                <w:rStyle w:val="23"/>
                <w:rFonts w:ascii="仿宋" w:hAnsi="仿宋" w:eastAsia="仿宋"/>
                <w:lang w:bidi="ar"/>
              </w:rPr>
              <w:t>2024</w:t>
            </w:r>
            <w:r>
              <w:rPr>
                <w:rFonts w:hint="eastAsia" w:ascii="仿宋" w:hAnsi="仿宋" w:eastAsia="仿宋" w:cs="宋体"/>
                <w:color w:val="000000"/>
                <w:kern w:val="0"/>
                <w:sz w:val="20"/>
                <w:szCs w:val="20"/>
                <w:lang w:bidi="ar"/>
              </w:rPr>
              <w:t>年第二次临时股东大会的议案》</w:t>
            </w:r>
          </w:p>
        </w:tc>
      </w:tr>
      <w:tr w14:paraId="5B15D1DF">
        <w:tblPrEx>
          <w:tblCellMar>
            <w:top w:w="0" w:type="dxa"/>
            <w:left w:w="108" w:type="dxa"/>
            <w:bottom w:w="0" w:type="dxa"/>
            <w:right w:w="108" w:type="dxa"/>
          </w:tblCellMar>
        </w:tblPrEx>
        <w:trPr>
          <w:trHeight w:val="69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9B94">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3FD">
            <w:pPr>
              <w:widowControl/>
              <w:jc w:val="center"/>
              <w:textAlignment w:val="top"/>
              <w:rPr>
                <w:rFonts w:ascii="仿宋" w:hAnsi="仿宋" w:eastAsia="仿宋" w:cs="仿宋"/>
                <w:color w:val="000000"/>
                <w:kern w:val="0"/>
                <w:szCs w:val="21"/>
                <w:lang w:bidi="ar"/>
              </w:rPr>
            </w:pPr>
            <w:r>
              <w:rPr>
                <w:rFonts w:ascii="仿宋" w:hAnsi="仿宋" w:eastAsia="仿宋" w:cs="Times New Roman"/>
                <w:color w:val="000000"/>
                <w:kern w:val="0"/>
                <w:sz w:val="20"/>
                <w:szCs w:val="20"/>
                <w:lang w:bidi="ar"/>
              </w:rPr>
              <w:t>2024.10.28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298">
            <w:pPr>
              <w:widowControl/>
              <w:jc w:val="left"/>
              <w:textAlignment w:val="top"/>
              <w:rPr>
                <w:rFonts w:ascii="仿宋" w:hAnsi="仿宋" w:eastAsia="仿宋" w:cs="仿宋"/>
                <w:color w:val="000000"/>
                <w:kern w:val="0"/>
                <w:szCs w:val="21"/>
                <w:lang w:bidi="ar"/>
              </w:rPr>
            </w:pPr>
            <w:r>
              <w:rPr>
                <w:rFonts w:hint="eastAsia" w:ascii="仿宋" w:hAnsi="仿宋" w:eastAsia="仿宋" w:cs="宋体"/>
                <w:color w:val="000000"/>
                <w:kern w:val="0"/>
                <w:sz w:val="20"/>
                <w:szCs w:val="20"/>
                <w:lang w:bidi="ar"/>
              </w:rPr>
              <w:t>第四届第八次会议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3FD5A8C6">
            <w:pPr>
              <w:widowControl/>
              <w:jc w:val="left"/>
              <w:textAlignment w:val="top"/>
              <w:rPr>
                <w:rStyle w:val="15"/>
                <w:rFonts w:ascii="仿宋" w:hAnsi="仿宋" w:eastAsia="仿宋" w:cs="仿宋"/>
                <w:sz w:val="21"/>
                <w:szCs w:val="21"/>
                <w:lang w:bidi="ar"/>
              </w:rPr>
            </w:pPr>
            <w:r>
              <w:rPr>
                <w:rStyle w:val="23"/>
                <w:rFonts w:ascii="仿宋" w:hAnsi="仿宋" w:eastAsia="仿宋"/>
                <w:lang w:bidi="ar"/>
              </w:rPr>
              <w:t>1</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《关于公司</w:t>
            </w:r>
            <w:r>
              <w:rPr>
                <w:rStyle w:val="23"/>
                <w:rFonts w:ascii="仿宋" w:hAnsi="仿宋" w:eastAsia="仿宋"/>
                <w:lang w:bidi="ar"/>
              </w:rPr>
              <w:t>&lt;2024</w:t>
            </w:r>
            <w:r>
              <w:rPr>
                <w:rFonts w:hint="eastAsia" w:ascii="仿宋" w:hAnsi="仿宋" w:eastAsia="仿宋" w:cs="宋体"/>
                <w:color w:val="000000"/>
                <w:kern w:val="0"/>
                <w:sz w:val="20"/>
                <w:szCs w:val="20"/>
                <w:lang w:bidi="ar"/>
              </w:rPr>
              <w:t>年第三季度报告</w:t>
            </w:r>
            <w:r>
              <w:rPr>
                <w:rStyle w:val="23"/>
                <w:rFonts w:ascii="仿宋" w:hAnsi="仿宋" w:eastAsia="仿宋"/>
                <w:lang w:bidi="ar"/>
              </w:rPr>
              <w:t>&gt;</w:t>
            </w:r>
            <w:r>
              <w:rPr>
                <w:rFonts w:hint="eastAsia" w:ascii="仿宋" w:hAnsi="仿宋" w:eastAsia="仿宋" w:cs="宋体"/>
                <w:color w:val="000000"/>
                <w:kern w:val="0"/>
                <w:sz w:val="20"/>
                <w:szCs w:val="20"/>
                <w:lang w:bidi="ar"/>
              </w:rPr>
              <w:t>的议案》</w:t>
            </w:r>
            <w:r>
              <w:rPr>
                <w:rFonts w:hint="eastAsia" w:ascii="仿宋" w:hAnsi="仿宋" w:eastAsia="仿宋" w:cs="宋体"/>
                <w:color w:val="000000"/>
                <w:kern w:val="0"/>
                <w:sz w:val="20"/>
                <w:szCs w:val="20"/>
                <w:lang w:bidi="ar"/>
              </w:rPr>
              <w:br w:type="textWrapping"/>
            </w:r>
            <w:r>
              <w:rPr>
                <w:rStyle w:val="23"/>
                <w:rFonts w:ascii="仿宋" w:hAnsi="仿宋" w:eastAsia="仿宋"/>
                <w:lang w:bidi="ar"/>
              </w:rPr>
              <w:t>2</w:t>
            </w:r>
            <w:r>
              <w:rPr>
                <w:rStyle w:val="23"/>
                <w:rFonts w:hint="eastAsia" w:ascii="仿宋" w:hAnsi="仿宋" w:eastAsia="仿宋"/>
                <w:lang w:bidi="ar"/>
              </w:rPr>
              <w:t>.</w:t>
            </w:r>
            <w:r>
              <w:rPr>
                <w:rFonts w:hint="eastAsia" w:ascii="仿宋" w:hAnsi="仿宋" w:eastAsia="仿宋" w:cs="宋体"/>
                <w:color w:val="000000"/>
                <w:kern w:val="0"/>
                <w:sz w:val="20"/>
                <w:szCs w:val="20"/>
                <w:lang w:bidi="ar"/>
              </w:rPr>
              <w:t>《关于制定</w:t>
            </w:r>
            <w:r>
              <w:rPr>
                <w:rStyle w:val="23"/>
                <w:rFonts w:ascii="仿宋" w:hAnsi="仿宋" w:eastAsia="仿宋"/>
                <w:lang w:bidi="ar"/>
              </w:rPr>
              <w:t>&lt;</w:t>
            </w:r>
            <w:r>
              <w:rPr>
                <w:rFonts w:hint="eastAsia" w:ascii="仿宋" w:hAnsi="仿宋" w:eastAsia="仿宋" w:cs="宋体"/>
                <w:color w:val="000000"/>
                <w:kern w:val="0"/>
                <w:sz w:val="20"/>
                <w:szCs w:val="20"/>
                <w:lang w:bidi="ar"/>
              </w:rPr>
              <w:t>舆情管理制度</w:t>
            </w:r>
            <w:r>
              <w:rPr>
                <w:rStyle w:val="23"/>
                <w:rFonts w:ascii="仿宋" w:hAnsi="仿宋" w:eastAsia="仿宋"/>
                <w:lang w:bidi="ar"/>
              </w:rPr>
              <w:t>&gt;</w:t>
            </w:r>
            <w:r>
              <w:rPr>
                <w:rFonts w:hint="eastAsia" w:ascii="仿宋" w:hAnsi="仿宋" w:eastAsia="仿宋" w:cs="宋体"/>
                <w:color w:val="000000"/>
                <w:kern w:val="0"/>
                <w:sz w:val="20"/>
                <w:szCs w:val="20"/>
                <w:lang w:bidi="ar"/>
              </w:rPr>
              <w:t>的议案》</w:t>
            </w:r>
          </w:p>
        </w:tc>
      </w:tr>
      <w:tr w14:paraId="17632AB2">
        <w:tblPrEx>
          <w:tblCellMar>
            <w:top w:w="0" w:type="dxa"/>
            <w:left w:w="108" w:type="dxa"/>
            <w:bottom w:w="0" w:type="dxa"/>
            <w:right w:w="108" w:type="dxa"/>
          </w:tblCellMar>
        </w:tblPrEx>
        <w:trPr>
          <w:trHeight w:val="12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55A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5FD3">
            <w:pPr>
              <w:widowControl/>
              <w:jc w:val="center"/>
              <w:textAlignment w:val="top"/>
              <w:rPr>
                <w:rFonts w:ascii="仿宋" w:hAnsi="仿宋" w:eastAsia="仿宋" w:cs="仿宋"/>
                <w:color w:val="000000"/>
                <w:kern w:val="0"/>
                <w:szCs w:val="21"/>
                <w:lang w:bidi="ar"/>
              </w:rPr>
            </w:pPr>
            <w:r>
              <w:rPr>
                <w:rFonts w:ascii="仿宋" w:hAnsi="仿宋" w:eastAsia="仿宋" w:cs="Times New Roman"/>
                <w:color w:val="000000"/>
                <w:kern w:val="0"/>
                <w:sz w:val="20"/>
                <w:szCs w:val="20"/>
                <w:lang w:bidi="ar"/>
              </w:rPr>
              <w:t>2024.11.26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7CFE">
            <w:pPr>
              <w:widowControl/>
              <w:jc w:val="left"/>
              <w:textAlignment w:val="top"/>
              <w:rPr>
                <w:rFonts w:ascii="仿宋" w:hAnsi="仿宋" w:eastAsia="仿宋" w:cs="仿宋"/>
                <w:color w:val="000000"/>
                <w:kern w:val="0"/>
                <w:szCs w:val="21"/>
                <w:lang w:bidi="ar"/>
              </w:rPr>
            </w:pPr>
            <w:r>
              <w:rPr>
                <w:rFonts w:hint="eastAsia" w:ascii="仿宋" w:hAnsi="仿宋" w:eastAsia="仿宋" w:cs="宋体"/>
                <w:color w:val="000000"/>
                <w:kern w:val="0"/>
                <w:sz w:val="20"/>
                <w:szCs w:val="20"/>
                <w:lang w:bidi="ar"/>
              </w:rPr>
              <w:t>第四届第九次会议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14:paraId="0CE84BC5">
            <w:pPr>
              <w:widowControl/>
              <w:jc w:val="left"/>
              <w:textAlignment w:val="top"/>
              <w:rPr>
                <w:rStyle w:val="15"/>
                <w:rFonts w:ascii="仿宋" w:hAnsi="仿宋" w:eastAsia="仿宋" w:cs="仿宋"/>
                <w:sz w:val="21"/>
                <w:szCs w:val="21"/>
                <w:lang w:bidi="ar"/>
              </w:rPr>
            </w:pPr>
            <w:r>
              <w:rPr>
                <w:rStyle w:val="23"/>
                <w:rFonts w:ascii="仿宋" w:hAnsi="仿宋" w:eastAsia="仿宋"/>
                <w:lang w:bidi="ar"/>
              </w:rPr>
              <w:t>1.</w:t>
            </w:r>
            <w:r>
              <w:rPr>
                <w:rFonts w:hint="eastAsia" w:ascii="仿宋" w:hAnsi="仿宋" w:eastAsia="仿宋" w:cs="宋体"/>
                <w:color w:val="000000"/>
                <w:kern w:val="0"/>
                <w:sz w:val="20"/>
                <w:szCs w:val="20"/>
                <w:lang w:bidi="ar"/>
              </w:rPr>
              <w:t>《关于调整募投项目办公楼用途的议案》</w:t>
            </w:r>
            <w:r>
              <w:rPr>
                <w:rStyle w:val="23"/>
                <w:rFonts w:ascii="仿宋" w:hAnsi="仿宋" w:eastAsia="仿宋"/>
                <w:lang w:bidi="ar"/>
              </w:rPr>
              <w:br w:type="textWrapping"/>
            </w:r>
            <w:r>
              <w:rPr>
                <w:rStyle w:val="23"/>
                <w:rFonts w:ascii="仿宋" w:hAnsi="仿宋" w:eastAsia="仿宋"/>
                <w:lang w:bidi="ar"/>
              </w:rPr>
              <w:t>2.</w:t>
            </w:r>
            <w:r>
              <w:rPr>
                <w:rFonts w:hint="eastAsia" w:ascii="仿宋" w:hAnsi="仿宋" w:eastAsia="仿宋" w:cs="宋体"/>
                <w:color w:val="000000"/>
                <w:kern w:val="0"/>
                <w:sz w:val="20"/>
                <w:szCs w:val="20"/>
                <w:lang w:bidi="ar"/>
              </w:rPr>
              <w:t>《关于部分募投项目结项并将节余募集资金用于其他募投项目的议案》</w:t>
            </w:r>
            <w:r>
              <w:rPr>
                <w:rStyle w:val="23"/>
                <w:rFonts w:ascii="仿宋" w:hAnsi="仿宋" w:eastAsia="仿宋"/>
                <w:lang w:bidi="ar"/>
              </w:rPr>
              <w:br w:type="textWrapping"/>
            </w:r>
            <w:r>
              <w:rPr>
                <w:rStyle w:val="23"/>
                <w:rFonts w:ascii="仿宋" w:hAnsi="仿宋" w:eastAsia="仿宋"/>
                <w:lang w:bidi="ar"/>
              </w:rPr>
              <w:t>3.</w:t>
            </w:r>
            <w:r>
              <w:rPr>
                <w:rFonts w:hint="eastAsia" w:ascii="仿宋" w:hAnsi="仿宋" w:eastAsia="仿宋" w:cs="宋体"/>
                <w:color w:val="000000"/>
                <w:kern w:val="0"/>
                <w:sz w:val="20"/>
                <w:szCs w:val="20"/>
                <w:lang w:bidi="ar"/>
              </w:rPr>
              <w:t>《关于重庆证监局对公司采取责令改正行政监管措施整改报告的议案》</w:t>
            </w:r>
            <w:r>
              <w:rPr>
                <w:rStyle w:val="23"/>
                <w:rFonts w:ascii="仿宋" w:hAnsi="仿宋" w:eastAsia="仿宋"/>
                <w:lang w:bidi="ar"/>
              </w:rPr>
              <w:br w:type="textWrapping"/>
            </w:r>
            <w:r>
              <w:rPr>
                <w:rStyle w:val="23"/>
                <w:rFonts w:ascii="仿宋" w:hAnsi="仿宋" w:eastAsia="仿宋"/>
                <w:lang w:bidi="ar"/>
              </w:rPr>
              <w:t>4.</w:t>
            </w:r>
            <w:r>
              <w:rPr>
                <w:rFonts w:hint="eastAsia" w:ascii="仿宋" w:hAnsi="仿宋" w:eastAsia="仿宋" w:cs="宋体"/>
                <w:color w:val="000000"/>
                <w:kern w:val="0"/>
                <w:sz w:val="20"/>
                <w:szCs w:val="20"/>
                <w:lang w:bidi="ar"/>
              </w:rPr>
              <w:t>《关于</w:t>
            </w:r>
            <w:r>
              <w:rPr>
                <w:rStyle w:val="23"/>
                <w:rFonts w:ascii="仿宋" w:hAnsi="仿宋" w:eastAsia="仿宋"/>
                <w:lang w:bidi="ar"/>
              </w:rPr>
              <w:t>2025</w:t>
            </w:r>
            <w:r>
              <w:rPr>
                <w:rFonts w:hint="eastAsia" w:ascii="仿宋" w:hAnsi="仿宋" w:eastAsia="仿宋" w:cs="宋体"/>
                <w:color w:val="000000"/>
                <w:kern w:val="0"/>
                <w:sz w:val="20"/>
                <w:szCs w:val="20"/>
                <w:lang w:bidi="ar"/>
              </w:rPr>
              <w:t>年度向银行等金融机构申请综合授信额度及为子公司提供融资担保额度的议案》</w:t>
            </w:r>
            <w:r>
              <w:rPr>
                <w:rStyle w:val="23"/>
                <w:rFonts w:ascii="仿宋" w:hAnsi="仿宋" w:eastAsia="仿宋"/>
                <w:lang w:bidi="ar"/>
              </w:rPr>
              <w:br w:type="textWrapping"/>
            </w:r>
            <w:r>
              <w:rPr>
                <w:rStyle w:val="23"/>
                <w:rFonts w:ascii="仿宋" w:hAnsi="仿宋" w:eastAsia="仿宋"/>
                <w:lang w:bidi="ar"/>
              </w:rPr>
              <w:t>5.</w:t>
            </w:r>
            <w:r>
              <w:rPr>
                <w:rFonts w:hint="eastAsia" w:ascii="仿宋" w:hAnsi="仿宋" w:eastAsia="仿宋" w:cs="宋体"/>
                <w:color w:val="000000"/>
                <w:kern w:val="0"/>
                <w:sz w:val="20"/>
                <w:szCs w:val="20"/>
                <w:lang w:bidi="ar"/>
              </w:rPr>
              <w:t>《关于预计公司</w:t>
            </w:r>
            <w:r>
              <w:rPr>
                <w:rStyle w:val="23"/>
                <w:rFonts w:ascii="仿宋" w:hAnsi="仿宋" w:eastAsia="仿宋"/>
                <w:lang w:bidi="ar"/>
              </w:rPr>
              <w:t>2025</w:t>
            </w:r>
            <w:r>
              <w:rPr>
                <w:rFonts w:hint="eastAsia" w:ascii="仿宋" w:hAnsi="仿宋" w:eastAsia="仿宋" w:cs="宋体"/>
                <w:color w:val="000000"/>
                <w:kern w:val="0"/>
                <w:sz w:val="20"/>
                <w:szCs w:val="20"/>
                <w:lang w:bidi="ar"/>
              </w:rPr>
              <w:t>年度日常关联交易的议案》</w:t>
            </w:r>
            <w:r>
              <w:rPr>
                <w:rStyle w:val="23"/>
                <w:rFonts w:ascii="仿宋" w:hAnsi="仿宋" w:eastAsia="仿宋"/>
                <w:lang w:bidi="ar"/>
              </w:rPr>
              <w:br w:type="textWrapping"/>
            </w:r>
            <w:r>
              <w:rPr>
                <w:rStyle w:val="23"/>
                <w:rFonts w:ascii="仿宋" w:hAnsi="仿宋" w:eastAsia="仿宋"/>
                <w:lang w:bidi="ar"/>
              </w:rPr>
              <w:t>6.</w:t>
            </w:r>
            <w:r>
              <w:rPr>
                <w:rFonts w:hint="eastAsia" w:ascii="仿宋" w:hAnsi="仿宋" w:eastAsia="仿宋" w:cs="宋体"/>
                <w:color w:val="000000"/>
                <w:kern w:val="0"/>
                <w:sz w:val="20"/>
                <w:szCs w:val="20"/>
                <w:lang w:bidi="ar"/>
              </w:rPr>
              <w:t>《关于使用暂时闲置募集资金进行现金管理的议案》</w:t>
            </w:r>
            <w:r>
              <w:rPr>
                <w:rStyle w:val="23"/>
                <w:rFonts w:ascii="仿宋" w:hAnsi="仿宋" w:eastAsia="仿宋"/>
                <w:lang w:bidi="ar"/>
              </w:rPr>
              <w:br w:type="textWrapping"/>
            </w:r>
            <w:r>
              <w:rPr>
                <w:rStyle w:val="23"/>
                <w:rFonts w:ascii="仿宋" w:hAnsi="仿宋" w:eastAsia="仿宋"/>
                <w:lang w:bidi="ar"/>
              </w:rPr>
              <w:t>7.</w:t>
            </w:r>
            <w:r>
              <w:rPr>
                <w:rFonts w:hint="eastAsia" w:ascii="仿宋" w:hAnsi="仿宋" w:eastAsia="仿宋" w:cs="宋体"/>
                <w:color w:val="000000"/>
                <w:kern w:val="0"/>
                <w:sz w:val="20"/>
                <w:szCs w:val="20"/>
                <w:lang w:bidi="ar"/>
              </w:rPr>
              <w:t>《关于使用闲置自有资金进行现金管理的议案》</w:t>
            </w:r>
            <w:r>
              <w:rPr>
                <w:rStyle w:val="23"/>
                <w:rFonts w:ascii="仿宋" w:hAnsi="仿宋" w:eastAsia="仿宋"/>
                <w:lang w:bidi="ar"/>
              </w:rPr>
              <w:br w:type="textWrapping"/>
            </w:r>
            <w:r>
              <w:rPr>
                <w:rStyle w:val="23"/>
                <w:rFonts w:ascii="仿宋" w:hAnsi="仿宋" w:eastAsia="仿宋"/>
                <w:lang w:bidi="ar"/>
              </w:rPr>
              <w:t>8.</w:t>
            </w:r>
            <w:r>
              <w:rPr>
                <w:rFonts w:hint="eastAsia" w:ascii="仿宋" w:hAnsi="仿宋" w:eastAsia="仿宋" w:cs="宋体"/>
                <w:color w:val="000000"/>
                <w:kern w:val="0"/>
                <w:sz w:val="20"/>
                <w:szCs w:val="20"/>
                <w:lang w:bidi="ar"/>
              </w:rPr>
              <w:t>《关于开展外汇套期保值业务的议案》</w:t>
            </w:r>
            <w:r>
              <w:rPr>
                <w:rStyle w:val="23"/>
                <w:rFonts w:ascii="仿宋" w:hAnsi="仿宋" w:eastAsia="仿宋"/>
                <w:lang w:bidi="ar"/>
              </w:rPr>
              <w:br w:type="textWrapping"/>
            </w:r>
            <w:r>
              <w:rPr>
                <w:rStyle w:val="23"/>
                <w:rFonts w:ascii="仿宋" w:hAnsi="仿宋" w:eastAsia="仿宋"/>
                <w:lang w:bidi="ar"/>
              </w:rPr>
              <w:t>9.</w:t>
            </w:r>
            <w:r>
              <w:rPr>
                <w:rFonts w:hint="eastAsia" w:ascii="仿宋" w:hAnsi="仿宋" w:eastAsia="仿宋" w:cs="宋体"/>
                <w:color w:val="000000"/>
                <w:kern w:val="0"/>
                <w:sz w:val="20"/>
                <w:szCs w:val="20"/>
                <w:lang w:bidi="ar"/>
              </w:rPr>
              <w:t>《关于提请召开</w:t>
            </w:r>
            <w:r>
              <w:rPr>
                <w:rStyle w:val="23"/>
                <w:rFonts w:ascii="仿宋" w:hAnsi="仿宋" w:eastAsia="仿宋"/>
                <w:lang w:bidi="ar"/>
              </w:rPr>
              <w:t>2024</w:t>
            </w:r>
            <w:r>
              <w:rPr>
                <w:rFonts w:hint="eastAsia" w:ascii="仿宋" w:hAnsi="仿宋" w:eastAsia="仿宋" w:cs="宋体"/>
                <w:color w:val="000000"/>
                <w:kern w:val="0"/>
                <w:sz w:val="20"/>
                <w:szCs w:val="20"/>
                <w:lang w:bidi="ar"/>
              </w:rPr>
              <w:t>年第三次临时股东会的议案》</w:t>
            </w:r>
          </w:p>
        </w:tc>
      </w:tr>
    </w:tbl>
    <w:p w14:paraId="15FE0045">
      <w:pPr>
        <w:rPr>
          <w:rFonts w:ascii="仿宋" w:hAnsi="仿宋" w:eastAsia="仿宋" w:cs="仿宋"/>
          <w:b/>
          <w:bCs/>
          <w:sz w:val="32"/>
          <w:szCs w:val="32"/>
        </w:rPr>
      </w:pPr>
    </w:p>
    <w:p w14:paraId="35C225C2">
      <w:pPr>
        <w:ind w:firstLine="643" w:firstLineChars="200"/>
        <w:rPr>
          <w:rFonts w:ascii="仿宋" w:hAnsi="仿宋" w:eastAsia="仿宋" w:cs="仿宋"/>
          <w:b/>
          <w:bCs/>
          <w:sz w:val="32"/>
          <w:szCs w:val="32"/>
        </w:rPr>
      </w:pPr>
      <w:r>
        <w:rPr>
          <w:rFonts w:hint="eastAsia" w:ascii="仿宋" w:hAnsi="仿宋" w:eastAsia="仿宋" w:cs="仿宋"/>
          <w:b/>
          <w:bCs/>
          <w:sz w:val="32"/>
          <w:szCs w:val="32"/>
        </w:rPr>
        <w:t>（二）董事会对股东大会决议执行的情况</w:t>
      </w:r>
    </w:p>
    <w:p w14:paraId="45FA8355">
      <w:pPr>
        <w:ind w:firstLine="640" w:firstLineChars="200"/>
        <w:rPr>
          <w:rFonts w:ascii="仿宋" w:hAnsi="仿宋" w:eastAsia="仿宋" w:cs="仿宋"/>
          <w:b/>
          <w:bCs/>
          <w:sz w:val="32"/>
          <w:szCs w:val="32"/>
        </w:rPr>
      </w:pPr>
      <w:r>
        <w:rPr>
          <w:rFonts w:hint="eastAsia" w:ascii="仿宋" w:hAnsi="仿宋" w:eastAsia="仿宋" w:cs="仿宋"/>
          <w:sz w:val="32"/>
          <w:szCs w:val="32"/>
        </w:rPr>
        <w:t>报告期内，公司召开了2024年第一次临时股东大会、2023年年度股东大会、2024年第二次临时股东大会和2024年第三次临时股东会。董事会严格按照《公司法》《公司章程》和《董事会议事规则》等相关法律法规及公司规章制度的规定和要求，本着对全体股东负责的态度，认真履行职责并全面有效、积极稳妥地执行了公司股东大会决议的相关事项。</w:t>
      </w:r>
    </w:p>
    <w:p w14:paraId="0B757D42">
      <w:pPr>
        <w:ind w:firstLine="643" w:firstLineChars="200"/>
        <w:rPr>
          <w:rFonts w:ascii="仿宋" w:hAnsi="仿宋" w:eastAsia="仿宋" w:cs="仿宋"/>
          <w:b/>
          <w:bCs/>
          <w:sz w:val="32"/>
          <w:szCs w:val="32"/>
        </w:rPr>
      </w:pPr>
      <w:r>
        <w:rPr>
          <w:rFonts w:hint="eastAsia" w:ascii="仿宋" w:hAnsi="仿宋" w:eastAsia="仿宋" w:cs="仿宋"/>
          <w:b/>
          <w:bCs/>
          <w:sz w:val="32"/>
          <w:szCs w:val="32"/>
        </w:rPr>
        <w:t>（三）独立董事履职情况</w:t>
      </w:r>
    </w:p>
    <w:p w14:paraId="5153A205">
      <w:pPr>
        <w:ind w:firstLine="640" w:firstLineChars="200"/>
        <w:rPr>
          <w:rFonts w:ascii="仿宋" w:hAnsi="仿宋" w:eastAsia="仿宋" w:cs="仿宋"/>
          <w:sz w:val="32"/>
          <w:szCs w:val="32"/>
        </w:rPr>
      </w:pPr>
      <w:r>
        <w:rPr>
          <w:rFonts w:hint="eastAsia" w:ascii="仿宋" w:hAnsi="仿宋" w:eastAsia="仿宋" w:cs="仿宋"/>
          <w:sz w:val="32"/>
          <w:szCs w:val="32"/>
        </w:rPr>
        <w:t>根据《公司法》《证券法》《上市规则》《上市公司独立董事管理办法》《公司章程》和公司《独立董事专门会议工作制度》等相关法律法规和规章制度的规定和要求，独立董事认真行使法规所赋予的权利，恪尽职守、勤勉尽责，通过与公司持续沟通,收集有关资料,积极主动了解公司的生产经营和运行情况，对公司的重大决策等事项召开独立董事专门会议,维护公司的整体利益，维护全体股东尤其是中小股东的合法权益，为健全和完善上市公司法人治理结构和提高董事会科学决策、依法运作做了一些工作，并能积极地为公司稳健和长远发展建言献策,提出自己的意见和建议。</w:t>
      </w:r>
    </w:p>
    <w:p w14:paraId="7F08E4C7">
      <w:pPr>
        <w:ind w:firstLine="640" w:firstLineChars="200"/>
        <w:rPr>
          <w:rFonts w:ascii="仿宋" w:hAnsi="仿宋" w:eastAsia="仿宋" w:cs="仿宋"/>
          <w:b/>
          <w:bCs/>
          <w:sz w:val="32"/>
          <w:szCs w:val="32"/>
          <w:highlight w:val="yellow"/>
        </w:rPr>
      </w:pPr>
      <w:r>
        <w:rPr>
          <w:rFonts w:hint="eastAsia" w:ascii="仿宋" w:hAnsi="仿宋" w:eastAsia="仿宋" w:cs="仿宋"/>
          <w:sz w:val="32"/>
          <w:szCs w:val="32"/>
        </w:rPr>
        <w:t>报告期内，独立董事对历次董事会会议审议的议案及公司其他事项均未提出异议，对重大影响相关议案组织召开了2次独立董事专门会议，报告期内独立董事独立性详见《董事会关于独立董事独立性自查情况的专项报告》。</w:t>
      </w:r>
    </w:p>
    <w:p w14:paraId="4A437574">
      <w:pPr>
        <w:ind w:firstLine="643" w:firstLineChars="200"/>
        <w:rPr>
          <w:rFonts w:ascii="仿宋" w:hAnsi="仿宋" w:eastAsia="仿宋" w:cs="仿宋"/>
          <w:b/>
          <w:bCs/>
          <w:sz w:val="32"/>
          <w:szCs w:val="32"/>
        </w:rPr>
      </w:pPr>
      <w:r>
        <w:rPr>
          <w:rFonts w:hint="eastAsia" w:ascii="仿宋" w:hAnsi="仿宋" w:eastAsia="仿宋" w:cs="仿宋"/>
          <w:b/>
          <w:bCs/>
          <w:sz w:val="32"/>
          <w:szCs w:val="32"/>
        </w:rPr>
        <w:t>（四）董事会专门委员履职情况</w:t>
      </w:r>
    </w:p>
    <w:p w14:paraId="37E3E9C9">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报告期内，董事会加强了下设委员会的履职意识，报告期内严格按照《董事会战略发展委员会工作细则》《董事会审计委员会工作细则》《董事会提名委员会工作细则》和《董事会薪酬与考核委员会工作细则》共召开了4次审计委员会、1次提名委员会和3次薪酬与考核委员会会议及2次独立董事专门会议。</w:t>
      </w:r>
    </w:p>
    <w:p w14:paraId="70C29011">
      <w:pPr>
        <w:ind w:firstLine="640" w:firstLineChars="200"/>
        <w:rPr>
          <w:rFonts w:ascii="仿宋" w:hAnsi="仿宋" w:eastAsia="仿宋" w:cs="仿宋"/>
          <w:sz w:val="32"/>
          <w:szCs w:val="32"/>
        </w:rPr>
      </w:pPr>
      <w:r>
        <w:rPr>
          <w:rFonts w:hint="eastAsia" w:ascii="仿宋" w:hAnsi="仿宋" w:eastAsia="仿宋" w:cs="仿宋"/>
          <w:kern w:val="0"/>
          <w:sz w:val="32"/>
          <w:szCs w:val="32"/>
        </w:rPr>
        <w:t>报告期内</w:t>
      </w:r>
      <w:r>
        <w:rPr>
          <w:rFonts w:hint="eastAsia" w:ascii="仿宋" w:hAnsi="仿宋" w:eastAsia="仿宋" w:cs="仿宋"/>
          <w:sz w:val="32"/>
          <w:szCs w:val="32"/>
        </w:rPr>
        <w:t>专门委员会均认真履行职责，就定期报告、利润分配、内部控制评价报告、关联交易、战略发展、薪酬制度等事项进行了审查，提出意见和建议，为董事会的科学决策提供参考和重要意见。</w:t>
      </w:r>
    </w:p>
    <w:p w14:paraId="5E2F514B">
      <w:pPr>
        <w:ind w:firstLine="640" w:firstLineChars="200"/>
        <w:rPr>
          <w:rFonts w:ascii="仿宋" w:hAnsi="仿宋" w:eastAsia="仿宋" w:cs="仿宋"/>
          <w:sz w:val="32"/>
          <w:szCs w:val="32"/>
        </w:rPr>
      </w:pPr>
      <w:r>
        <w:rPr>
          <w:rFonts w:hint="eastAsia" w:ascii="仿宋" w:hAnsi="仿宋" w:eastAsia="仿宋" w:cs="仿宋"/>
          <w:sz w:val="32"/>
          <w:szCs w:val="32"/>
        </w:rPr>
        <w:t>报告期内，董事会专门委员会在报告期内履行职责时均无异议事项。</w:t>
      </w:r>
    </w:p>
    <w:p w14:paraId="242CBD8D">
      <w:pPr>
        <w:ind w:firstLine="643" w:firstLineChars="200"/>
        <w:rPr>
          <w:rFonts w:ascii="仿宋" w:hAnsi="仿宋" w:eastAsia="仿宋" w:cs="仿宋"/>
          <w:b/>
          <w:bCs/>
          <w:sz w:val="32"/>
          <w:szCs w:val="32"/>
        </w:rPr>
      </w:pPr>
      <w:r>
        <w:rPr>
          <w:rFonts w:hint="eastAsia" w:ascii="仿宋" w:hAnsi="仿宋" w:eastAsia="仿宋" w:cs="仿宋"/>
          <w:b/>
          <w:bCs/>
          <w:sz w:val="32"/>
          <w:szCs w:val="32"/>
        </w:rPr>
        <w:t>（五）公司治理情况</w:t>
      </w:r>
    </w:p>
    <w:p w14:paraId="0F64F03A">
      <w:pPr>
        <w:ind w:firstLine="640" w:firstLineChars="200"/>
        <w:rPr>
          <w:rFonts w:ascii="仿宋" w:hAnsi="仿宋" w:eastAsia="仿宋" w:cs="仿宋"/>
          <w:sz w:val="32"/>
          <w:szCs w:val="32"/>
        </w:rPr>
      </w:pPr>
      <w:r>
        <w:rPr>
          <w:rFonts w:hint="eastAsia" w:ascii="仿宋" w:hAnsi="仿宋" w:eastAsia="仿宋" w:cs="仿宋"/>
          <w:sz w:val="32"/>
          <w:szCs w:val="32"/>
        </w:rPr>
        <w:t>公司根据《公司法》《证券法》《上海证券交易所股票上市规则》等相关法律法规及规范性文件的要求，公司建立由股东大会、董事会、监事会、经营管理层组成的公司治理架构，在董事会下设战略发展、提名、审计、薪酬与考核专门委员会，并制定了《董事会战略发展委员会工作细则》《董事会提名委员会工作细则》《董事会审计委员会工作细则》及《董事会薪酬与考核委员会工作细则》。通过对上述制度的制定和落实，公司已逐步建立和完善了符合上市公司要求的法人治理结构。公司股东大会、董事会、监事会能够按照《公司法》《证券法》等有关法律法规及《公司章程》、公司内部制度的规定规范运作，依法履行各自的权利和义务。</w:t>
      </w:r>
    </w:p>
    <w:p w14:paraId="4C6BA348">
      <w:pPr>
        <w:ind w:firstLine="640" w:firstLineChars="200"/>
        <w:rPr>
          <w:rFonts w:ascii="仿宋" w:hAnsi="仿宋" w:eastAsia="仿宋" w:cs="仿宋"/>
          <w:sz w:val="32"/>
          <w:szCs w:val="32"/>
        </w:rPr>
      </w:pPr>
      <w:r>
        <w:rPr>
          <w:rFonts w:hint="eastAsia" w:ascii="仿宋" w:hAnsi="仿宋" w:eastAsia="仿宋" w:cs="仿宋"/>
          <w:sz w:val="32"/>
          <w:szCs w:val="32"/>
        </w:rPr>
        <w:t>报告期内，公司董事会组织的各项会议的召集、召开、议案审议符合相关法律、法规、规范性文件及公司章程的规定，未有违法违规情况的发生。</w:t>
      </w:r>
    </w:p>
    <w:p w14:paraId="0A2A7FE7">
      <w:pPr>
        <w:ind w:firstLine="640" w:firstLineChars="200"/>
        <w:rPr>
          <w:rFonts w:ascii="仿宋" w:hAnsi="仿宋" w:eastAsia="仿宋" w:cs="仿宋"/>
          <w:sz w:val="32"/>
          <w:szCs w:val="32"/>
        </w:rPr>
      </w:pPr>
      <w:r>
        <w:rPr>
          <w:rFonts w:hint="eastAsia" w:ascii="仿宋" w:hAnsi="仿宋" w:eastAsia="仿宋" w:cs="仿宋"/>
          <w:sz w:val="32"/>
          <w:szCs w:val="32"/>
        </w:rPr>
        <w:t>报告期内，公司持续完善公司治理体系，进一步提升独立董事工作的科学性，加强投资者关系管理，重视募集资金管理等。公司结合相关法律法规，2024年公司修订了《公司章程》《股东大会议事规则》《董事会议事规则》《监事会议事规则》《对外投资管理办法》，建立了《独立董事专门会议工作制度》《信息披露暂缓与豁免事项管理制度》《自愿信息披露管理制度》《舆情管理制度》，进一步提升了公司的治理规范水平。</w:t>
      </w:r>
    </w:p>
    <w:p w14:paraId="013BACC4">
      <w:pPr>
        <w:ind w:firstLine="643" w:firstLineChars="200"/>
        <w:rPr>
          <w:rFonts w:ascii="仿宋" w:hAnsi="仿宋" w:eastAsia="仿宋" w:cs="仿宋"/>
          <w:b/>
          <w:bCs/>
          <w:sz w:val="32"/>
          <w:szCs w:val="32"/>
        </w:rPr>
      </w:pPr>
      <w:r>
        <w:rPr>
          <w:rFonts w:hint="eastAsia" w:ascii="仿宋" w:hAnsi="仿宋" w:eastAsia="仿宋" w:cs="仿宋"/>
          <w:b/>
          <w:bCs/>
          <w:sz w:val="32"/>
          <w:szCs w:val="32"/>
        </w:rPr>
        <w:t>（六）信息披露和内幕消息管理</w:t>
      </w:r>
    </w:p>
    <w:p w14:paraId="2D47E852">
      <w:pPr>
        <w:ind w:firstLine="640" w:firstLineChars="200"/>
        <w:rPr>
          <w:rFonts w:ascii="仿宋" w:hAnsi="仿宋" w:eastAsia="仿宋" w:cs="仿宋"/>
          <w:sz w:val="32"/>
          <w:szCs w:val="32"/>
        </w:rPr>
      </w:pPr>
      <w:r>
        <w:rPr>
          <w:rFonts w:hint="eastAsia" w:ascii="仿宋" w:hAnsi="仿宋" w:eastAsia="仿宋" w:cs="仿宋"/>
          <w:sz w:val="32"/>
          <w:szCs w:val="32"/>
        </w:rPr>
        <w:t>报告期内，公司严格按照《公司法》《上市公司治理准则》《上市规则》和《上市公司信息披露管理办法》以及已制定的内部制度等相关规定，真实、准确、完整、及时、公平地披露了各项应披露的事项和信息。</w:t>
      </w:r>
    </w:p>
    <w:p w14:paraId="611D8A44">
      <w:pPr>
        <w:ind w:firstLine="640" w:firstLineChars="200"/>
        <w:rPr>
          <w:rFonts w:ascii="仿宋" w:hAnsi="仿宋" w:eastAsia="仿宋" w:cs="仿宋"/>
          <w:sz w:val="32"/>
          <w:szCs w:val="32"/>
        </w:rPr>
      </w:pPr>
      <w:r>
        <w:rPr>
          <w:rFonts w:hint="eastAsia" w:ascii="仿宋" w:hAnsi="仿宋" w:eastAsia="仿宋" w:cs="仿宋"/>
          <w:sz w:val="32"/>
          <w:szCs w:val="32"/>
        </w:rPr>
        <w:t>同时，公司根据《上海证券交易所上市公司自律监管指引》等法律法规，认真执行内幕信息知情人登记和重大信息内部报告，对涉及公司定期报告发布、重大事项筹划和审议期间的相关内幕知情人进行登记，如实、完整地记录内幕信息在公开前各环节所有内幕信息知情人名单，建立了内幕信息知情人档案，维护公司信息披露公开、公平和公正。</w:t>
      </w:r>
    </w:p>
    <w:p w14:paraId="4879333B">
      <w:pPr>
        <w:ind w:firstLine="640" w:firstLineChars="200"/>
        <w:rPr>
          <w:rFonts w:ascii="仿宋" w:hAnsi="仿宋" w:eastAsia="仿宋" w:cs="仿宋"/>
          <w:sz w:val="32"/>
          <w:szCs w:val="32"/>
        </w:rPr>
      </w:pPr>
      <w:r>
        <w:rPr>
          <w:rFonts w:hint="eastAsia" w:ascii="仿宋" w:hAnsi="仿宋" w:eastAsia="仿宋" w:cs="仿宋"/>
          <w:sz w:val="32"/>
          <w:szCs w:val="32"/>
        </w:rPr>
        <w:t>2024年公司共计披露文件166个，同比增长24%；其中公告类82个、定期报告及摘要6份、投资者交流活动记录表13份及其他文件65份积极详细披露了公司相关重大事项的进展情况，保证信息披露的公开、透明。</w:t>
      </w:r>
    </w:p>
    <w:p w14:paraId="18B51316">
      <w:pPr>
        <w:ind w:firstLine="643" w:firstLineChars="200"/>
        <w:rPr>
          <w:rFonts w:ascii="仿宋" w:hAnsi="仿宋" w:eastAsia="仿宋" w:cs="仿宋"/>
          <w:b/>
          <w:bCs/>
          <w:sz w:val="32"/>
          <w:szCs w:val="32"/>
        </w:rPr>
      </w:pPr>
    </w:p>
    <w:p w14:paraId="27FC6070">
      <w:pPr>
        <w:jc w:val="center"/>
        <w:rPr>
          <w:rFonts w:ascii="仿宋" w:hAnsi="仿宋" w:eastAsia="仿宋" w:cs="仿宋"/>
          <w:b/>
          <w:bCs/>
          <w:sz w:val="32"/>
          <w:szCs w:val="32"/>
        </w:rPr>
      </w:pPr>
      <w:r>
        <w:rPr>
          <w:rFonts w:hint="eastAsia" w:ascii="仿宋" w:hAnsi="仿宋" w:eastAsia="仿宋" w:cs="仿宋"/>
          <w:b/>
          <w:bCs/>
          <w:sz w:val="32"/>
          <w:szCs w:val="32"/>
        </w:rPr>
        <w:t>第二部分 2025公司工作展望</w:t>
      </w:r>
    </w:p>
    <w:p w14:paraId="27B0915D">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2025年作为公司新三十年发展的启航之年，将围绕"新质生产力培育"与"全球价值链跃升"双主线，实施四大战略行动，全面构建高质量发展新格局。</w:t>
      </w:r>
    </w:p>
    <w:p w14:paraId="46185CCC">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1、深耕区域产业生态，打造新质生产力标杆</w:t>
      </w:r>
    </w:p>
    <w:p w14:paraId="499EB673">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司深度融入重庆市"33618"现代制造业集群战略，联合区域内龙头企业，共同打造区域产业协同新生态。重点布局新能源汽车配套领域，开发高性能非晶合金材料，加速切入新能源汽车电机核心供应链；同时依托长寿新材料基地，推进光储充一体化智能箱变研发，通过本地化产业协同持续提升创新效能，积极培育新质生产力发展标杆。</w:t>
      </w:r>
    </w:p>
    <w:p w14:paraId="250F747F">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本地化协同增效实施路径如下：</w:t>
      </w:r>
    </w:p>
    <w:tbl>
      <w:tblPr>
        <w:tblStyle w:val="25"/>
        <w:tblW w:w="5000" w:type="pct"/>
        <w:jc w:val="center"/>
        <w:tblLayout w:type="fixed"/>
        <w:tblCellMar>
          <w:top w:w="0" w:type="dxa"/>
          <w:left w:w="108" w:type="dxa"/>
          <w:bottom w:w="0" w:type="dxa"/>
          <w:right w:w="108" w:type="dxa"/>
        </w:tblCellMar>
      </w:tblPr>
      <w:tblGrid>
        <w:gridCol w:w="1306"/>
        <w:gridCol w:w="4512"/>
        <w:gridCol w:w="3243"/>
      </w:tblGrid>
      <w:tr w14:paraId="23866F23">
        <w:trPr>
          <w:trHeight w:val="39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739">
            <w:pPr>
              <w:spacing w:line="360" w:lineRule="exact"/>
              <w:jc w:val="center"/>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协同维度</w:t>
            </w:r>
          </w:p>
        </w:tc>
        <w:tc>
          <w:tcPr>
            <w:tcW w:w="4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8B7">
            <w:pPr>
              <w:spacing w:line="360" w:lineRule="exact"/>
              <w:jc w:val="center"/>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协同维度</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8A70">
            <w:pPr>
              <w:spacing w:line="360" w:lineRule="exact"/>
              <w:jc w:val="center"/>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预期效益</w:t>
            </w:r>
          </w:p>
        </w:tc>
      </w:tr>
      <w:tr w14:paraId="39D5D3B0">
        <w:tblPrEx>
          <w:tblCellMar>
            <w:top w:w="0" w:type="dxa"/>
            <w:left w:w="108" w:type="dxa"/>
            <w:bottom w:w="0" w:type="dxa"/>
            <w:right w:w="108" w:type="dxa"/>
          </w:tblCellMar>
        </w:tblPrEx>
        <w:trPr>
          <w:trHeight w:val="39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2A9">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材料端</w:t>
            </w:r>
          </w:p>
        </w:tc>
        <w:tc>
          <w:tcPr>
            <w:tcW w:w="4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B3A3">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与川渝钢企共建取向硅钢联合实验室</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9DB3">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缩短原料采购周期30%</w:t>
            </w:r>
          </w:p>
        </w:tc>
      </w:tr>
      <w:tr w14:paraId="22D3C23D">
        <w:tblPrEx>
          <w:tblCellMar>
            <w:top w:w="0" w:type="dxa"/>
            <w:left w:w="108" w:type="dxa"/>
            <w:bottom w:w="0" w:type="dxa"/>
            <w:right w:w="108" w:type="dxa"/>
          </w:tblCellMar>
        </w:tblPrEx>
        <w:trPr>
          <w:trHeight w:val="39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7FBA">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制造端</w:t>
            </w:r>
          </w:p>
        </w:tc>
        <w:tc>
          <w:tcPr>
            <w:tcW w:w="4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8737">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引进工业机器人改造部分产线</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FC5F">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人均产能提升10-25%</w:t>
            </w:r>
          </w:p>
        </w:tc>
      </w:tr>
      <w:tr w14:paraId="7D3C5CDA">
        <w:tblPrEx>
          <w:tblCellMar>
            <w:top w:w="0" w:type="dxa"/>
            <w:left w:w="108" w:type="dxa"/>
            <w:bottom w:w="0" w:type="dxa"/>
            <w:right w:w="108" w:type="dxa"/>
          </w:tblCellMar>
        </w:tblPrEx>
        <w:trPr>
          <w:trHeight w:val="39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7370">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市场端</w:t>
            </w:r>
          </w:p>
        </w:tc>
        <w:tc>
          <w:tcPr>
            <w:tcW w:w="4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C311">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多渠道拓展、承接成渝双城经济圈电网及其他项目建设电力设备供应</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A50A">
            <w:pPr>
              <w:spacing w:line="360" w:lineRule="exact"/>
              <w:jc w:val="both"/>
              <w:rPr>
                <w:rFonts w:hint="eastAsia" w:ascii="仿宋" w:hAnsi="仿宋" w:eastAsia="仿宋" w:cs="仿宋"/>
                <w:bCs w:val="0"/>
                <w:color w:val="000000"/>
                <w:sz w:val="28"/>
                <w:szCs w:val="28"/>
              </w:rPr>
            </w:pPr>
            <w:r>
              <w:rPr>
                <w:rFonts w:hint="eastAsia" w:ascii="仿宋" w:hAnsi="仿宋" w:eastAsia="仿宋" w:cs="仿宋"/>
                <w:bCs w:val="0"/>
                <w:color w:val="000000"/>
                <w:sz w:val="28"/>
                <w:szCs w:val="28"/>
              </w:rPr>
              <w:t xml:space="preserve">力争2025年区域订单增长10-20% </w:t>
            </w:r>
          </w:p>
        </w:tc>
      </w:tr>
    </w:tbl>
    <w:p w14:paraId="1FE9F0AB">
      <w:pPr>
        <w:pBdr>
          <w:bottom w:val="single" w:color="FFFFFF" w:sz="4" w:space="31"/>
        </w:pBdr>
        <w:spacing w:line="560" w:lineRule="exact"/>
        <w:ind w:firstLine="643" w:firstLineChars="200"/>
        <w:rPr>
          <w:rFonts w:hint="eastAsia" w:ascii="仿宋" w:hAnsi="仿宋" w:eastAsia="仿宋" w:cs="仿宋"/>
          <w:b/>
          <w:bCs/>
          <w:sz w:val="32"/>
          <w:szCs w:val="32"/>
        </w:rPr>
      </w:pPr>
    </w:p>
    <w:p w14:paraId="184747B4">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2、全球化战略升级，构建一带一路业务矩阵</w:t>
      </w:r>
    </w:p>
    <w:p w14:paraId="6A83428A">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司积极推进"一带一路"业务布局，输配电及控制设备以云变电气为基地，辐射“一带一路”友好国家，持续推进市场业务拓展；并将东南亚市场服务半径优化至300公里。在重点项目拓展方面取得重大进展，力争中标中老铁路延伸段电力配套工程，积极参与印尼新首都智能微电网建设，国际化战略实施成效显著。</w:t>
      </w:r>
    </w:p>
    <w:p w14:paraId="3E0CBA17">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3、并购整合2.0计划，激活规模倍增引擎</w:t>
      </w:r>
    </w:p>
    <w:p w14:paraId="6EB9DE6C">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司基于云变电气成功整合经验，创新打造"技术-渠道-人才"三融合并购方法论，实现规模效益快速提升。通过500kV高电压等级资质导入，预计2025年110kV以上产品订单增加3亿元以上；依托铁路与电网双网渠道协同，目标实现相关业务收入增长5-10个百分点。同时，通过核心人才融合带动技术升级，全力突破500kV电力设备市场。公司将持续筛选优质并购标的，完善产品矩阵布局，进一步强化产业链竞争优势。</w:t>
      </w:r>
    </w:p>
    <w:p w14:paraId="01FE34FA">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4、技术领航计划，定义行业新标准</w:t>
      </w:r>
    </w:p>
    <w:p w14:paraId="144992D1">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司持续深化技术领航计划，重点突破极薄硅钢核心材料研发，并积极推进AI智能变压器及专用微电网系统等智能装备创新。通过构建"市场需求-基础研究-产业转化"的三驱动研发体系，大幅提升技术创新效率。公司将进一步加大研发投入力度，持续推动行业技术标准升级。</w:t>
      </w:r>
    </w:p>
    <w:p w14:paraId="0D688020">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5、战略保障体系持续完善</w:t>
      </w:r>
    </w:p>
    <w:p w14:paraId="772FDBFA">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公司全面推进数字化转型，构建全球化业务实时可视化平台，显著提升运营管理效能。同步实施"领航者计划"人才工程，强化核心团队建设，为战略实施提供坚实保障。</w:t>
      </w:r>
    </w:p>
    <w:p w14:paraId="44E8B51C">
      <w:pPr>
        <w:pBdr>
          <w:bottom w:val="single" w:color="FFFFFF" w:sz="4" w:space="31"/>
        </w:pBd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6、ESG风险管理</w:t>
      </w:r>
    </w:p>
    <w:p w14:paraId="5ABBE82C">
      <w:pPr>
        <w:pBdr>
          <w:bottom w:val="single" w:color="FFFFFF" w:sz="4" w:space="31"/>
        </w:pBd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建立碳足迹追溯系统，覆盖供应链200+关键节点。</w:t>
      </w:r>
    </w:p>
    <w:p w14:paraId="61B48584">
      <w:pPr>
        <w:pBdr>
          <w:bottom w:val="single" w:color="FFFFFF" w:sz="4" w:space="31"/>
        </w:pBdr>
        <w:spacing w:line="560" w:lineRule="exact"/>
        <w:rPr>
          <w:rFonts w:ascii="仿宋" w:hAnsi="仿宋" w:eastAsia="仿宋" w:cs="仿宋"/>
          <w:b/>
          <w:bCs/>
          <w:sz w:val="32"/>
          <w:szCs w:val="32"/>
        </w:rPr>
      </w:pPr>
    </w:p>
    <w:p w14:paraId="1DC34310">
      <w:pPr>
        <w:spacing w:line="560" w:lineRule="exact"/>
        <w:ind w:firstLine="640" w:firstLineChars="200"/>
        <w:jc w:val="right"/>
        <w:rPr>
          <w:rFonts w:hint="eastAsia" w:ascii="仿宋" w:hAnsi="仿宋" w:eastAsia="仿宋" w:cs="Times New Roman"/>
          <w:sz w:val="32"/>
          <w:szCs w:val="32"/>
          <w:lang w:val="en-US" w:eastAsia="zh-CN"/>
        </w:rPr>
      </w:pPr>
      <w:r>
        <w:rPr>
          <w:rFonts w:hint="eastAsia" w:ascii="仿宋" w:hAnsi="仿宋" w:eastAsia="仿宋" w:cs="Times New Roman"/>
          <w:sz w:val="32"/>
          <w:szCs w:val="32"/>
        </w:rPr>
        <w:t>重庆望变电气（集团）股份有限公司</w:t>
      </w:r>
      <w:r>
        <w:rPr>
          <w:rFonts w:hint="eastAsia" w:ascii="仿宋" w:hAnsi="仿宋" w:eastAsia="仿宋" w:cs="Times New Roman"/>
          <w:sz w:val="32"/>
          <w:szCs w:val="32"/>
          <w:lang w:val="en-US" w:eastAsia="zh-CN"/>
        </w:rPr>
        <w:t>董事会</w:t>
      </w:r>
    </w:p>
    <w:p w14:paraId="00808F0B">
      <w:pPr>
        <w:spacing w:line="560" w:lineRule="exact"/>
        <w:ind w:firstLine="640" w:firstLineChars="200"/>
        <w:jc w:val="right"/>
        <w:rPr>
          <w:rFonts w:ascii="仿宋" w:hAnsi="仿宋" w:eastAsia="仿宋" w:cs="仿宋"/>
          <w:b/>
          <w:bCs/>
          <w:sz w:val="32"/>
          <w:szCs w:val="32"/>
        </w:rPr>
      </w:pPr>
      <w:r>
        <w:rPr>
          <w:rFonts w:hint="eastAsia" w:ascii="仿宋" w:hAnsi="仿宋" w:eastAsia="仿宋" w:cs="Times New Roman"/>
          <w:sz w:val="32"/>
          <w:szCs w:val="32"/>
          <w:lang w:val="en-US" w:eastAsia="zh-CN"/>
        </w:rPr>
        <w:t>2025年4月24</w:t>
      </w: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CAB2">
    <w:pPr>
      <w:pStyle w:val="6"/>
      <w:jc w:val="both"/>
    </w:pPr>
    <w:r>
      <w:rPr>
        <w:rFonts w:hint="eastAsia" w:ascii="仿宋" w:hAnsi="仿宋" w:eastAsia="仿宋" w:cs="仿宋"/>
      </w:rPr>
      <w:drawing>
        <wp:inline distT="0" distB="0" distL="114300" distR="114300">
          <wp:extent cx="285750" cy="285750"/>
          <wp:effectExtent l="0" t="0" r="0" b="0"/>
          <wp:docPr id="1"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第四届董事会第十二次会议资料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5CB5459A"/>
    <w:rsid w:val="000D7E08"/>
    <w:rsid w:val="00144D1E"/>
    <w:rsid w:val="00164CA3"/>
    <w:rsid w:val="001E720F"/>
    <w:rsid w:val="002062FD"/>
    <w:rsid w:val="002573B7"/>
    <w:rsid w:val="00266179"/>
    <w:rsid w:val="00270475"/>
    <w:rsid w:val="002A5C2A"/>
    <w:rsid w:val="002B4A51"/>
    <w:rsid w:val="002C0952"/>
    <w:rsid w:val="00312B12"/>
    <w:rsid w:val="00335AAA"/>
    <w:rsid w:val="00353351"/>
    <w:rsid w:val="0035589A"/>
    <w:rsid w:val="003F2502"/>
    <w:rsid w:val="00445BED"/>
    <w:rsid w:val="00466286"/>
    <w:rsid w:val="00485189"/>
    <w:rsid w:val="00491947"/>
    <w:rsid w:val="0049732A"/>
    <w:rsid w:val="004A3A38"/>
    <w:rsid w:val="004A573E"/>
    <w:rsid w:val="005904EC"/>
    <w:rsid w:val="005A222F"/>
    <w:rsid w:val="00602144"/>
    <w:rsid w:val="006C6E2E"/>
    <w:rsid w:val="00720D19"/>
    <w:rsid w:val="00731501"/>
    <w:rsid w:val="00756DB7"/>
    <w:rsid w:val="007A39FD"/>
    <w:rsid w:val="00804588"/>
    <w:rsid w:val="00840A64"/>
    <w:rsid w:val="008D28BA"/>
    <w:rsid w:val="00960482"/>
    <w:rsid w:val="009B27B5"/>
    <w:rsid w:val="009B5176"/>
    <w:rsid w:val="009D7980"/>
    <w:rsid w:val="00A148D0"/>
    <w:rsid w:val="00A71269"/>
    <w:rsid w:val="00A72548"/>
    <w:rsid w:val="00B668B7"/>
    <w:rsid w:val="00B714FC"/>
    <w:rsid w:val="00BD4330"/>
    <w:rsid w:val="00BD7A24"/>
    <w:rsid w:val="00BF7D60"/>
    <w:rsid w:val="00CA4199"/>
    <w:rsid w:val="00CC42E7"/>
    <w:rsid w:val="00CE6C62"/>
    <w:rsid w:val="00D02F6B"/>
    <w:rsid w:val="00D65553"/>
    <w:rsid w:val="00D70933"/>
    <w:rsid w:val="00D96C5A"/>
    <w:rsid w:val="00DA3136"/>
    <w:rsid w:val="00E51E6C"/>
    <w:rsid w:val="00E55AF0"/>
    <w:rsid w:val="00E83D05"/>
    <w:rsid w:val="00ED3898"/>
    <w:rsid w:val="00EE4143"/>
    <w:rsid w:val="00EF10EF"/>
    <w:rsid w:val="00F13815"/>
    <w:rsid w:val="00F67200"/>
    <w:rsid w:val="00FF5CFB"/>
    <w:rsid w:val="01640B24"/>
    <w:rsid w:val="020E0784"/>
    <w:rsid w:val="04F45A89"/>
    <w:rsid w:val="065206DF"/>
    <w:rsid w:val="0654485A"/>
    <w:rsid w:val="06976DA4"/>
    <w:rsid w:val="078B10B1"/>
    <w:rsid w:val="08277DF6"/>
    <w:rsid w:val="08665C4C"/>
    <w:rsid w:val="08AA2278"/>
    <w:rsid w:val="09844DA3"/>
    <w:rsid w:val="0B1338B8"/>
    <w:rsid w:val="0F167A26"/>
    <w:rsid w:val="0F416944"/>
    <w:rsid w:val="0F615C10"/>
    <w:rsid w:val="10A81709"/>
    <w:rsid w:val="10F20792"/>
    <w:rsid w:val="12C80001"/>
    <w:rsid w:val="13DC5767"/>
    <w:rsid w:val="14A55D11"/>
    <w:rsid w:val="15091ACE"/>
    <w:rsid w:val="15E62E7C"/>
    <w:rsid w:val="17F8386D"/>
    <w:rsid w:val="195F6D92"/>
    <w:rsid w:val="1A617842"/>
    <w:rsid w:val="1AFE5F5A"/>
    <w:rsid w:val="1CC01391"/>
    <w:rsid w:val="1D785D1E"/>
    <w:rsid w:val="1E225983"/>
    <w:rsid w:val="1EFE4ED3"/>
    <w:rsid w:val="1F80612D"/>
    <w:rsid w:val="201A439F"/>
    <w:rsid w:val="203A0415"/>
    <w:rsid w:val="215646A6"/>
    <w:rsid w:val="279A5E91"/>
    <w:rsid w:val="28CE6BCC"/>
    <w:rsid w:val="29583AEA"/>
    <w:rsid w:val="2A1B3D70"/>
    <w:rsid w:val="2A797033"/>
    <w:rsid w:val="2C677972"/>
    <w:rsid w:val="2FEA4702"/>
    <w:rsid w:val="315B12A6"/>
    <w:rsid w:val="358F5533"/>
    <w:rsid w:val="364F6605"/>
    <w:rsid w:val="36FE44B8"/>
    <w:rsid w:val="37182651"/>
    <w:rsid w:val="37D7420B"/>
    <w:rsid w:val="389202D2"/>
    <w:rsid w:val="38E94FD4"/>
    <w:rsid w:val="3948064F"/>
    <w:rsid w:val="3A0B3126"/>
    <w:rsid w:val="3A8A1112"/>
    <w:rsid w:val="3C64316E"/>
    <w:rsid w:val="40217FC5"/>
    <w:rsid w:val="41093A95"/>
    <w:rsid w:val="41B60510"/>
    <w:rsid w:val="438E5C99"/>
    <w:rsid w:val="4399728B"/>
    <w:rsid w:val="45976E3F"/>
    <w:rsid w:val="4B047121"/>
    <w:rsid w:val="4C696563"/>
    <w:rsid w:val="4CFBA0E4"/>
    <w:rsid w:val="4D603FA0"/>
    <w:rsid w:val="4ED07693"/>
    <w:rsid w:val="4F6B3541"/>
    <w:rsid w:val="505B4DA3"/>
    <w:rsid w:val="542D76E9"/>
    <w:rsid w:val="55CF4E5A"/>
    <w:rsid w:val="56761EF3"/>
    <w:rsid w:val="57BE17E1"/>
    <w:rsid w:val="57FE7446"/>
    <w:rsid w:val="583F163E"/>
    <w:rsid w:val="58544F76"/>
    <w:rsid w:val="59F20B72"/>
    <w:rsid w:val="59F23B76"/>
    <w:rsid w:val="59FB7AB9"/>
    <w:rsid w:val="5B911787"/>
    <w:rsid w:val="5BB80F02"/>
    <w:rsid w:val="5CB5459A"/>
    <w:rsid w:val="5EC67C89"/>
    <w:rsid w:val="5FA0150E"/>
    <w:rsid w:val="60DF77A9"/>
    <w:rsid w:val="62410B76"/>
    <w:rsid w:val="62B77813"/>
    <w:rsid w:val="63794D2C"/>
    <w:rsid w:val="654A2859"/>
    <w:rsid w:val="668545C7"/>
    <w:rsid w:val="67254250"/>
    <w:rsid w:val="6865349E"/>
    <w:rsid w:val="6C4E0FBD"/>
    <w:rsid w:val="6C976AC8"/>
    <w:rsid w:val="6DD91C91"/>
    <w:rsid w:val="6E8E28DA"/>
    <w:rsid w:val="6F846876"/>
    <w:rsid w:val="6FF7503E"/>
    <w:rsid w:val="73017694"/>
    <w:rsid w:val="75122447"/>
    <w:rsid w:val="756078B8"/>
    <w:rsid w:val="75EE0170"/>
    <w:rsid w:val="76BB3ECD"/>
    <w:rsid w:val="77263645"/>
    <w:rsid w:val="7944618E"/>
    <w:rsid w:val="79933715"/>
    <w:rsid w:val="7A6D0F4D"/>
    <w:rsid w:val="7C03097E"/>
    <w:rsid w:val="7C31250E"/>
    <w:rsid w:val="7D32344C"/>
    <w:rsid w:val="7DA40E98"/>
    <w:rsid w:val="7E3836B1"/>
    <w:rsid w:val="7F092FA3"/>
    <w:rsid w:val="7FAD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alloon Text"/>
    <w:basedOn w:val="1"/>
    <w:link w:val="24"/>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paragraph" w:styleId="8">
    <w:name w:val="annotation subject"/>
    <w:basedOn w:val="3"/>
    <w:next w:val="3"/>
    <w:link w:val="19"/>
    <w:autoRedefine/>
    <w:qFormat/>
    <w:uiPriority w:val="0"/>
    <w:rPr>
      <w:b/>
      <w:bCs/>
    </w:rPr>
  </w:style>
  <w:style w:type="character" w:styleId="11">
    <w:name w:val="annotation reference"/>
    <w:basedOn w:val="10"/>
    <w:autoRedefine/>
    <w:semiHidden/>
    <w:unhideWhenUsed/>
    <w:qFormat/>
    <w:uiPriority w:val="99"/>
    <w:rPr>
      <w:sz w:val="21"/>
      <w:szCs w:val="21"/>
    </w:rPr>
  </w:style>
  <w:style w:type="paragraph" w:customStyle="1" w:styleId="1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3">
    <w:name w:val="页眉 字符"/>
    <w:basedOn w:val="10"/>
    <w:link w:val="6"/>
    <w:autoRedefine/>
    <w:qFormat/>
    <w:uiPriority w:val="0"/>
    <w:rPr>
      <w:rFonts w:asciiTheme="minorHAnsi" w:hAnsiTheme="minorHAnsi" w:eastAsiaTheme="minorEastAsia" w:cstheme="minorBidi"/>
      <w:kern w:val="2"/>
      <w:sz w:val="18"/>
      <w:szCs w:val="18"/>
    </w:rPr>
  </w:style>
  <w:style w:type="character" w:customStyle="1" w:styleId="14">
    <w:name w:val="页脚 字符"/>
    <w:basedOn w:val="10"/>
    <w:link w:val="5"/>
    <w:autoRedefine/>
    <w:qFormat/>
    <w:uiPriority w:val="0"/>
    <w:rPr>
      <w:rFonts w:asciiTheme="minorHAnsi" w:hAnsiTheme="minorHAnsi" w:eastAsiaTheme="minorEastAsia" w:cstheme="minorBidi"/>
      <w:kern w:val="2"/>
      <w:sz w:val="18"/>
      <w:szCs w:val="18"/>
    </w:rPr>
  </w:style>
  <w:style w:type="character" w:customStyle="1" w:styleId="15">
    <w:name w:val="font41"/>
    <w:basedOn w:val="10"/>
    <w:autoRedefine/>
    <w:qFormat/>
    <w:uiPriority w:val="0"/>
    <w:rPr>
      <w:rFonts w:hint="default" w:ascii="Times New Roman" w:hAnsi="Times New Roman" w:cs="Times New Roman"/>
      <w:color w:val="000000"/>
      <w:sz w:val="20"/>
      <w:szCs w:val="20"/>
      <w:u w:val="none"/>
    </w:rPr>
  </w:style>
  <w:style w:type="character" w:customStyle="1" w:styleId="16">
    <w:name w:val="font51"/>
    <w:basedOn w:val="10"/>
    <w:autoRedefine/>
    <w:qFormat/>
    <w:uiPriority w:val="0"/>
    <w:rPr>
      <w:rFonts w:hint="eastAsia" w:ascii="宋体" w:hAnsi="宋体" w:eastAsia="宋体" w:cs="宋体"/>
      <w:color w:val="000000"/>
      <w:sz w:val="20"/>
      <w:szCs w:val="20"/>
      <w:u w:val="none"/>
    </w:rPr>
  </w:style>
  <w:style w:type="paragraph" w:customStyle="1" w:styleId="17">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0"/>
    <w:link w:val="3"/>
    <w:autoRedefine/>
    <w:semiHidden/>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8"/>
    <w:autoRedefine/>
    <w:qFormat/>
    <w:uiPriority w:val="0"/>
    <w:rPr>
      <w:rFonts w:asciiTheme="minorHAnsi" w:hAnsiTheme="minorHAnsi" w:eastAsiaTheme="minorEastAsia" w:cstheme="minorBidi"/>
      <w:b/>
      <w:bCs/>
      <w:kern w:val="2"/>
      <w:sz w:val="21"/>
      <w:szCs w:val="24"/>
    </w:rPr>
  </w:style>
  <w:style w:type="paragraph" w:customStyle="1" w:styleId="20">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年报正文"/>
    <w:basedOn w:val="1"/>
    <w:link w:val="22"/>
    <w:autoRedefine/>
    <w:qFormat/>
    <w:uiPriority w:val="0"/>
    <w:pPr>
      <w:spacing w:before="120" w:beforeLines="50" w:line="360" w:lineRule="auto"/>
      <w:ind w:firstLine="480" w:firstLineChars="200"/>
    </w:pPr>
    <w:rPr>
      <w:rFonts w:hint="eastAsia" w:ascii="宋体" w:hAnsi="宋体" w:eastAsia="宋体" w:cs="Times New Roman"/>
      <w:kern w:val="0"/>
      <w:sz w:val="24"/>
    </w:rPr>
  </w:style>
  <w:style w:type="character" w:customStyle="1" w:styleId="22">
    <w:name w:val="年报正文 字符"/>
    <w:basedOn w:val="10"/>
    <w:link w:val="21"/>
    <w:autoRedefine/>
    <w:qFormat/>
    <w:uiPriority w:val="0"/>
    <w:rPr>
      <w:rFonts w:hint="eastAsia" w:ascii="宋体" w:hAnsi="宋体" w:eastAsia="宋体" w:cs="宋体"/>
      <w:sz w:val="24"/>
      <w:szCs w:val="24"/>
    </w:rPr>
  </w:style>
  <w:style w:type="character" w:customStyle="1" w:styleId="23">
    <w:name w:val="font31"/>
    <w:basedOn w:val="10"/>
    <w:qFormat/>
    <w:uiPriority w:val="0"/>
    <w:rPr>
      <w:rFonts w:hint="default" w:ascii="Times New Roman" w:hAnsi="Times New Roman" w:cs="Times New Roman"/>
      <w:color w:val="000000"/>
      <w:sz w:val="20"/>
      <w:szCs w:val="20"/>
      <w:u w:val="none"/>
    </w:rPr>
  </w:style>
  <w:style w:type="character" w:customStyle="1" w:styleId="24">
    <w:name w:val="批注框文本 字符"/>
    <w:basedOn w:val="10"/>
    <w:link w:val="4"/>
    <w:qFormat/>
    <w:uiPriority w:val="0"/>
    <w:rPr>
      <w:rFonts w:asciiTheme="minorHAnsi" w:hAnsiTheme="minorHAnsi" w:eastAsiaTheme="minorEastAsia" w:cstheme="minorBidi"/>
      <w:kern w:val="2"/>
      <w:sz w:val="18"/>
      <w:szCs w:val="18"/>
    </w:rPr>
  </w:style>
  <w:style w:type="table" w:customStyle="1" w:styleId="25">
    <w:name w:val="g1"/>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21</Pages>
  <Words>5346</Words>
  <Characters>5802</Characters>
  <Lines>743</Lines>
  <Paragraphs>699</Paragraphs>
  <TotalTime>1</TotalTime>
  <ScaleCrop>false</ScaleCrop>
  <LinksUpToDate>false</LinksUpToDate>
  <CharactersWithSpaces>5821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2023-03-16T15:35:00Z</dcterms:created>
  <dc:creator>Administrator</dc:creator>
  <cp:lastModifiedBy>雯亦</cp:lastModifiedBy>
  <dcterms:modified xsi:type="dcterms:W3CDTF">2025-04-25T01:02:23Z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B0FDFDB741C14949A602432D9B678BEB_13</vt:lpwstr>
  </property>
  <property fmtid="{D5CDD505-2E9C-101B-9397-08002B2CF9AE}" pid="4" name="KSOTemplateDocerSaveRecord">
    <vt:lpwstr>eyJoZGlkIjoiZTQzZmRmZDMxMjkwMDE2NTk0ZWQ1ZWYwMzRmYjVhNmUiLCJ1c2VySWQiOiI2NDQwNzQxNTQifQ==</vt:lpwstr>
  </property>
</Properties>
</file>