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076F1">
      <w:pPr>
        <w:widowControl w:val="0"/>
        <w:kinsoku/>
        <w:autoSpaceDE/>
        <w:autoSpaceDN/>
        <w:adjustRightInd/>
        <w:snapToGrid/>
        <w:spacing w:line="360" w:lineRule="auto"/>
        <w:jc w:val="center"/>
        <w:textAlignment w:val="auto"/>
        <w:rPr>
          <w:rFonts w:ascii="仿宋" w:hAnsi="仿宋" w:eastAsia="仿宋" w:cs="仿宋"/>
          <w:b/>
          <w:snapToGrid/>
          <w:color w:val="auto"/>
          <w:kern w:val="2"/>
          <w:sz w:val="44"/>
          <w:szCs w:val="44"/>
        </w:rPr>
      </w:pPr>
      <w:r>
        <w:rPr>
          <w:rFonts w:hint="eastAsia" w:ascii="仿宋" w:hAnsi="仿宋" w:eastAsia="仿宋" w:cs="仿宋"/>
          <w:b/>
          <w:snapToGrid/>
          <w:color w:val="auto"/>
          <w:kern w:val="2"/>
          <w:sz w:val="44"/>
          <w:szCs w:val="44"/>
        </w:rPr>
        <w:t>重庆望变电气（集团）股份有限公司</w:t>
      </w:r>
    </w:p>
    <w:p w14:paraId="100FF17E">
      <w:pPr>
        <w:widowControl w:val="0"/>
        <w:kinsoku/>
        <w:autoSpaceDE/>
        <w:autoSpaceDN/>
        <w:adjustRightInd/>
        <w:snapToGrid/>
        <w:spacing w:line="360" w:lineRule="auto"/>
        <w:jc w:val="center"/>
        <w:textAlignment w:val="auto"/>
        <w:rPr>
          <w:rFonts w:ascii="仿宋" w:hAnsi="仿宋" w:eastAsia="仿宋" w:cs="仿宋"/>
          <w:b/>
          <w:color w:val="auto"/>
          <w:sz w:val="36"/>
          <w:szCs w:val="36"/>
        </w:rPr>
      </w:pPr>
      <w:r>
        <w:rPr>
          <w:rFonts w:hint="eastAsia" w:ascii="仿宋" w:hAnsi="仿宋" w:eastAsia="仿宋" w:cs="仿宋"/>
          <w:b/>
          <w:snapToGrid/>
          <w:color w:val="auto"/>
          <w:kern w:val="2"/>
          <w:sz w:val="44"/>
          <w:szCs w:val="44"/>
        </w:rPr>
        <w:t>202</w:t>
      </w:r>
      <w:r>
        <w:rPr>
          <w:rFonts w:ascii="仿宋" w:hAnsi="仿宋" w:eastAsia="仿宋" w:cs="仿宋"/>
          <w:b/>
          <w:snapToGrid/>
          <w:color w:val="auto"/>
          <w:kern w:val="2"/>
          <w:sz w:val="44"/>
          <w:szCs w:val="44"/>
        </w:rPr>
        <w:t>4</w:t>
      </w:r>
      <w:r>
        <w:rPr>
          <w:rFonts w:hint="eastAsia" w:ascii="仿宋" w:hAnsi="仿宋" w:eastAsia="仿宋" w:cs="仿宋"/>
          <w:b/>
          <w:snapToGrid/>
          <w:color w:val="auto"/>
          <w:kern w:val="2"/>
          <w:sz w:val="44"/>
          <w:szCs w:val="44"/>
        </w:rPr>
        <w:t>年度独立董事述职报告</w:t>
      </w:r>
    </w:p>
    <w:p w14:paraId="4EB01E81">
      <w:pPr>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赵宇</w:t>
      </w:r>
    </w:p>
    <w:p w14:paraId="558F0963">
      <w:pPr>
        <w:spacing w:line="360" w:lineRule="auto"/>
        <w:ind w:right="79" w:firstLine="616" w:firstLineChars="200"/>
        <w:jc w:val="both"/>
        <w:rPr>
          <w:rFonts w:ascii="仿宋" w:hAnsi="仿宋" w:eastAsia="仿宋" w:cs="仿宋"/>
          <w:color w:val="auto"/>
          <w:sz w:val="32"/>
          <w:szCs w:val="32"/>
        </w:rPr>
      </w:pPr>
      <w:r>
        <w:rPr>
          <w:rFonts w:hint="eastAsia" w:ascii="仿宋" w:hAnsi="仿宋" w:eastAsia="仿宋" w:cs="仿宋"/>
          <w:color w:val="auto"/>
          <w:spacing w:val="-6"/>
          <w:sz w:val="32"/>
          <w:szCs w:val="32"/>
        </w:rPr>
        <w:t>作为重庆望变电气（集团）股份有限公司(以下简称“公司”)的独立董事，</w:t>
      </w:r>
      <w:r>
        <w:rPr>
          <w:rFonts w:hint="eastAsia" w:ascii="仿宋" w:hAnsi="仿宋" w:eastAsia="仿宋" w:cs="仿宋"/>
          <w:color w:val="auto"/>
          <w:spacing w:val="-3"/>
          <w:sz w:val="32"/>
          <w:szCs w:val="32"/>
        </w:rPr>
        <w:t>根据《中华人民共和国公司法》《中华人民共和国证券法》《上海证券交易所股票上市规则》《重庆望变电气（集团）股份有限公司章程》（以下简称“《公司章程》”）和公司《独立董事工作制度》等相关法律法规和</w:t>
      </w:r>
      <w:r>
        <w:rPr>
          <w:rFonts w:hint="eastAsia" w:ascii="仿宋" w:hAnsi="仿宋" w:eastAsia="仿宋" w:cs="仿宋"/>
          <w:color w:val="auto"/>
          <w:spacing w:val="-2"/>
          <w:sz w:val="32"/>
          <w:szCs w:val="32"/>
        </w:rPr>
        <w:t>规章制度的规定和要求，</w:t>
      </w:r>
      <w:r>
        <w:rPr>
          <w:rFonts w:hint="eastAsia" w:ascii="仿宋" w:hAnsi="仿宋" w:eastAsia="仿宋" w:cs="仿宋"/>
          <w:color w:val="auto"/>
          <w:spacing w:val="-5"/>
          <w:sz w:val="32"/>
          <w:szCs w:val="32"/>
        </w:rPr>
        <w:t>本人</w:t>
      </w:r>
      <w:r>
        <w:rPr>
          <w:rFonts w:hint="eastAsia" w:ascii="仿宋" w:hAnsi="仿宋" w:eastAsia="仿宋" w:cs="仿宋"/>
          <w:color w:val="auto"/>
          <w:spacing w:val="-1"/>
          <w:sz w:val="32"/>
          <w:szCs w:val="32"/>
        </w:rPr>
        <w:t>认真行使法规所</w:t>
      </w:r>
      <w:r>
        <w:rPr>
          <w:rFonts w:hint="eastAsia" w:ascii="仿宋" w:hAnsi="仿宋" w:eastAsia="仿宋" w:cs="仿宋"/>
          <w:color w:val="auto"/>
          <w:sz w:val="32"/>
          <w:szCs w:val="32"/>
        </w:rPr>
        <w:t>赋予的权利，恪尽职守、勤勉尽责，通过与公司持续沟通，收集有关</w:t>
      </w:r>
      <w:r>
        <w:rPr>
          <w:rFonts w:hint="eastAsia" w:ascii="仿宋" w:hAnsi="仿宋" w:eastAsia="仿宋" w:cs="仿宋"/>
          <w:color w:val="auto"/>
          <w:spacing w:val="-1"/>
          <w:sz w:val="32"/>
          <w:szCs w:val="32"/>
        </w:rPr>
        <w:t>资料，积极主动了解公</w:t>
      </w:r>
      <w:r>
        <w:rPr>
          <w:rFonts w:hint="eastAsia" w:ascii="仿宋" w:hAnsi="仿宋" w:eastAsia="仿宋" w:cs="仿宋"/>
          <w:color w:val="auto"/>
          <w:sz w:val="32"/>
          <w:szCs w:val="32"/>
        </w:rPr>
        <w:t>司的生产经营和运行情况，对公司的重大决策等事项发表独立意</w:t>
      </w:r>
      <w:r>
        <w:rPr>
          <w:rFonts w:hint="eastAsia" w:ascii="仿宋" w:hAnsi="仿宋" w:eastAsia="仿宋" w:cs="仿宋"/>
          <w:color w:val="auto"/>
          <w:spacing w:val="-1"/>
          <w:sz w:val="32"/>
          <w:szCs w:val="32"/>
        </w:rPr>
        <w:t>见，维护公司的整体利</w:t>
      </w:r>
      <w:r>
        <w:rPr>
          <w:rFonts w:hint="eastAsia" w:ascii="仿宋" w:hAnsi="仿宋" w:eastAsia="仿宋" w:cs="仿宋"/>
          <w:color w:val="auto"/>
          <w:sz w:val="32"/>
          <w:szCs w:val="32"/>
        </w:rPr>
        <w:t>益，维护全体股东尤其是中小股东的合法权益，为健全和完善上</w:t>
      </w:r>
      <w:r>
        <w:rPr>
          <w:rFonts w:hint="eastAsia" w:ascii="仿宋" w:hAnsi="仿宋" w:eastAsia="仿宋" w:cs="仿宋"/>
          <w:color w:val="auto"/>
          <w:spacing w:val="-4"/>
          <w:sz w:val="32"/>
          <w:szCs w:val="32"/>
        </w:rPr>
        <w:t>市公司法人治理结构和提高董事</w:t>
      </w:r>
      <w:r>
        <w:rPr>
          <w:rFonts w:hint="eastAsia" w:ascii="仿宋" w:hAnsi="仿宋" w:eastAsia="仿宋" w:cs="仿宋"/>
          <w:color w:val="auto"/>
          <w:spacing w:val="-3"/>
          <w:sz w:val="32"/>
          <w:szCs w:val="32"/>
        </w:rPr>
        <w:t>会</w:t>
      </w:r>
      <w:r>
        <w:rPr>
          <w:rFonts w:hint="eastAsia" w:ascii="仿宋" w:hAnsi="仿宋" w:eastAsia="仿宋" w:cs="仿宋"/>
          <w:color w:val="auto"/>
          <w:spacing w:val="-2"/>
          <w:sz w:val="32"/>
          <w:szCs w:val="32"/>
        </w:rPr>
        <w:t>科学决策、依法运作做了一些工作，并能积极地为公司稳健和长远发展建言献策，提出</w:t>
      </w:r>
      <w:r>
        <w:rPr>
          <w:rFonts w:hint="eastAsia" w:ascii="仿宋" w:hAnsi="仿宋" w:eastAsia="仿宋" w:cs="仿宋"/>
          <w:color w:val="auto"/>
          <w:spacing w:val="-1"/>
          <w:sz w:val="32"/>
          <w:szCs w:val="32"/>
        </w:rPr>
        <w:t>自己的意见和建议。</w:t>
      </w:r>
    </w:p>
    <w:p w14:paraId="6B680297">
      <w:pPr>
        <w:spacing w:line="360" w:lineRule="auto"/>
        <w:ind w:left="317" w:leftChars="151" w:firstLine="548" w:firstLineChars="178"/>
        <w:jc w:val="both"/>
        <w:outlineLvl w:val="0"/>
        <w:rPr>
          <w:rFonts w:ascii="仿宋" w:hAnsi="仿宋" w:eastAsia="仿宋" w:cs="仿宋"/>
          <w:color w:val="auto"/>
          <w:spacing w:val="-3"/>
          <w:sz w:val="32"/>
          <w:szCs w:val="32"/>
        </w:rPr>
      </w:pPr>
      <w:r>
        <w:rPr>
          <w:rFonts w:hint="eastAsia" w:ascii="仿宋" w:hAnsi="仿宋" w:eastAsia="仿宋" w:cs="仿宋"/>
          <w:color w:val="auto"/>
          <w:spacing w:val="-6"/>
          <w:sz w:val="32"/>
          <w:szCs w:val="32"/>
        </w:rPr>
        <w:t>现</w:t>
      </w:r>
      <w:r>
        <w:rPr>
          <w:rFonts w:hint="eastAsia" w:ascii="仿宋" w:hAnsi="仿宋" w:eastAsia="仿宋" w:cs="仿宋"/>
          <w:color w:val="auto"/>
          <w:spacing w:val="-3"/>
          <w:sz w:val="32"/>
          <w:szCs w:val="32"/>
        </w:rPr>
        <w:t>将202</w:t>
      </w:r>
      <w:r>
        <w:rPr>
          <w:rFonts w:ascii="仿宋" w:hAnsi="仿宋" w:eastAsia="仿宋" w:cs="仿宋"/>
          <w:color w:val="auto"/>
          <w:spacing w:val="-3"/>
          <w:sz w:val="32"/>
          <w:szCs w:val="32"/>
        </w:rPr>
        <w:t>4</w:t>
      </w:r>
      <w:r>
        <w:rPr>
          <w:rFonts w:hint="eastAsia" w:ascii="仿宋" w:hAnsi="仿宋" w:eastAsia="仿宋" w:cs="仿宋"/>
          <w:color w:val="auto"/>
          <w:spacing w:val="-3"/>
          <w:sz w:val="32"/>
          <w:szCs w:val="32"/>
        </w:rPr>
        <w:t>年本人担任公司独立董事以来的工作情况报告如下：</w:t>
      </w:r>
    </w:p>
    <w:p w14:paraId="10383CB7">
      <w:pPr>
        <w:spacing w:line="360" w:lineRule="auto"/>
        <w:ind w:firstLine="604" w:firstLineChars="200"/>
        <w:jc w:val="both"/>
        <w:outlineLvl w:val="0"/>
        <w:rPr>
          <w:rFonts w:ascii="仿宋" w:hAnsi="仿宋" w:eastAsia="仿宋" w:cs="仿宋"/>
          <w:color w:val="auto"/>
          <w:spacing w:val="-8"/>
          <w:sz w:val="32"/>
          <w:szCs w:val="32"/>
          <w14:textOutline w14:w="4356" w14:cap="flat" w14:cmpd="sng" w14:algn="ctr">
            <w14:solidFill>
              <w14:srgbClr w14:val="000000"/>
            </w14:solidFill>
            <w14:prstDash w14:val="solid"/>
            <w14:miter w14:val="0"/>
          </w14:textOutline>
        </w:rPr>
      </w:pPr>
      <w:r>
        <w:rPr>
          <w:rFonts w:hint="eastAsia" w:ascii="仿宋" w:hAnsi="仿宋" w:eastAsia="仿宋" w:cs="仿宋"/>
          <w:color w:val="auto"/>
          <w:spacing w:val="-9"/>
          <w:sz w:val="32"/>
          <w:szCs w:val="32"/>
          <w14:textOutline w14:w="4356" w14:cap="flat" w14:cmpd="sng" w14:algn="ctr">
            <w14:solidFill>
              <w14:srgbClr w14:val="000000"/>
            </w14:solidFill>
            <w14:prstDash w14:val="solid"/>
            <w14:miter w14:val="0"/>
          </w14:textOutline>
        </w:rPr>
        <w:t>一、独立董事基本情</w:t>
      </w:r>
      <w:r>
        <w:rPr>
          <w:rFonts w:hint="eastAsia" w:ascii="仿宋" w:hAnsi="仿宋" w:eastAsia="仿宋" w:cs="仿宋"/>
          <w:color w:val="auto"/>
          <w:spacing w:val="-8"/>
          <w:sz w:val="32"/>
          <w:szCs w:val="32"/>
          <w14:textOutline w14:w="4356" w14:cap="flat" w14:cmpd="sng" w14:algn="ctr">
            <w14:solidFill>
              <w14:srgbClr w14:val="000000"/>
            </w14:solidFill>
            <w14:prstDash w14:val="solid"/>
            <w14:miter w14:val="0"/>
          </w14:textOutline>
        </w:rPr>
        <w:t>况</w:t>
      </w:r>
    </w:p>
    <w:p w14:paraId="587DF4A6">
      <w:pPr>
        <w:spacing w:line="360" w:lineRule="auto"/>
        <w:ind w:left="-44" w:leftChars="-21" w:firstLine="628" w:firstLineChars="200"/>
        <w:jc w:val="both"/>
        <w:outlineLvl w:val="0"/>
        <w:rPr>
          <w:rFonts w:ascii="仿宋" w:hAnsi="仿宋" w:eastAsia="仿宋" w:cs="仿宋"/>
          <w:color w:val="auto"/>
          <w:spacing w:val="-4"/>
          <w:sz w:val="32"/>
          <w:szCs w:val="32"/>
        </w:rPr>
      </w:pPr>
      <w:r>
        <w:rPr>
          <w:rFonts w:hint="eastAsia" w:ascii="仿宋" w:hAnsi="仿宋" w:eastAsia="仿宋" w:cs="仿宋"/>
          <w:color w:val="auto"/>
          <w:spacing w:val="-3"/>
          <w:sz w:val="32"/>
          <w:szCs w:val="32"/>
        </w:rPr>
        <w:t>公司于2023</w:t>
      </w:r>
      <w:r>
        <w:rPr>
          <w:rFonts w:ascii="仿宋" w:hAnsi="仿宋" w:eastAsia="仿宋" w:cs="仿宋"/>
          <w:color w:val="auto"/>
          <w:spacing w:val="-3"/>
          <w:sz w:val="32"/>
          <w:szCs w:val="32"/>
        </w:rPr>
        <w:t>年11月13日召开2023年第二次临时股东大会</w:t>
      </w:r>
      <w:r>
        <w:rPr>
          <w:rFonts w:hint="eastAsia" w:ascii="仿宋" w:hAnsi="仿宋" w:eastAsia="仿宋" w:cs="仿宋"/>
          <w:color w:val="auto"/>
          <w:spacing w:val="-3"/>
          <w:sz w:val="32"/>
          <w:szCs w:val="32"/>
        </w:rPr>
        <w:t>，换届</w:t>
      </w:r>
      <w:r>
        <w:rPr>
          <w:rFonts w:ascii="仿宋" w:hAnsi="仿宋" w:eastAsia="仿宋" w:cs="仿宋"/>
          <w:color w:val="auto"/>
          <w:spacing w:val="-3"/>
          <w:sz w:val="32"/>
          <w:szCs w:val="32"/>
        </w:rPr>
        <w:t>选举</w:t>
      </w:r>
      <w:r>
        <w:rPr>
          <w:rFonts w:hint="eastAsia" w:ascii="仿宋" w:hAnsi="仿宋" w:eastAsia="仿宋" w:cs="仿宋"/>
          <w:color w:val="auto"/>
          <w:spacing w:val="-3"/>
          <w:sz w:val="32"/>
          <w:szCs w:val="32"/>
        </w:rPr>
        <w:t>本人及沈江</w:t>
      </w:r>
      <w:r>
        <w:rPr>
          <w:rFonts w:ascii="仿宋" w:hAnsi="仿宋" w:eastAsia="仿宋" w:cs="仿宋"/>
          <w:color w:val="auto"/>
          <w:spacing w:val="-3"/>
          <w:sz w:val="32"/>
          <w:szCs w:val="32"/>
        </w:rPr>
        <w:t>先生、王勇先生为公司第四届董事会独立董事</w:t>
      </w:r>
      <w:r>
        <w:rPr>
          <w:rFonts w:hint="eastAsia" w:ascii="仿宋" w:hAnsi="仿宋" w:eastAsia="仿宋" w:cs="仿宋"/>
          <w:color w:val="auto"/>
          <w:spacing w:val="-3"/>
          <w:sz w:val="32"/>
          <w:szCs w:val="32"/>
        </w:rPr>
        <w:t>，本人</w:t>
      </w:r>
      <w:r>
        <w:rPr>
          <w:rFonts w:hint="eastAsia" w:ascii="仿宋" w:hAnsi="仿宋" w:eastAsia="仿宋" w:cs="仿宋"/>
          <w:color w:val="auto"/>
          <w:spacing w:val="-4"/>
          <w:sz w:val="32"/>
          <w:szCs w:val="32"/>
        </w:rPr>
        <w:t>并从即日开始履行公司独立董事职责。</w:t>
      </w:r>
    </w:p>
    <w:p w14:paraId="731F58AC">
      <w:pPr>
        <w:spacing w:line="360" w:lineRule="auto"/>
        <w:ind w:firstLine="640" w:firstLineChars="200"/>
        <w:jc w:val="both"/>
        <w:outlineLvl w:val="0"/>
        <w:rPr>
          <w:rFonts w:ascii="仿宋" w:hAnsi="仿宋" w:eastAsia="仿宋" w:cs="仿宋"/>
          <w:sz w:val="32"/>
          <w:szCs w:val="32"/>
        </w:rPr>
      </w:pPr>
      <w:r>
        <w:rPr>
          <w:rFonts w:hint="eastAsia" w:ascii="仿宋" w:hAnsi="仿宋" w:eastAsia="仿宋" w:cs="仿宋"/>
          <w:sz w:val="32"/>
          <w:szCs w:val="32"/>
        </w:rPr>
        <w:t>本人基本情况：赵宇，男，汉族，1961年出生，中国国籍，无境外永久居留权，工学博士，教授级高工。1986年4月至1988年10月，在北京航空材料研究所任工程师；1992年6月至1998年12月，在冶金部钢铁研究总院任高级工程师；1998年12月至2021年11月，在安泰科技股份有限公司功能材料事业部任教授级高级工程师，总工程师；2005年9月至2021年11月，在首钢总公司-钢铁研究总院电工钢联合研发中心任常务副主任；</w:t>
      </w:r>
      <w:r>
        <w:rPr>
          <w:rFonts w:ascii="仿宋" w:hAnsi="仿宋" w:eastAsia="仿宋" w:cs="仿宋"/>
          <w:color w:val="auto"/>
          <w:sz w:val="32"/>
          <w:szCs w:val="32"/>
        </w:rPr>
        <w:t>2023</w:t>
      </w:r>
      <w:r>
        <w:rPr>
          <w:rFonts w:hint="eastAsia" w:ascii="仿宋" w:hAnsi="仿宋" w:eastAsia="仿宋" w:cs="仿宋"/>
          <w:color w:val="auto"/>
          <w:sz w:val="32"/>
          <w:szCs w:val="32"/>
        </w:rPr>
        <w:t>年</w:t>
      </w:r>
      <w:r>
        <w:rPr>
          <w:rFonts w:ascii="仿宋" w:hAnsi="仿宋" w:eastAsia="仿宋" w:cs="仿宋"/>
          <w:color w:val="auto"/>
          <w:sz w:val="32"/>
          <w:szCs w:val="32"/>
        </w:rPr>
        <w:t>11</w:t>
      </w:r>
      <w:r>
        <w:rPr>
          <w:rFonts w:hint="eastAsia" w:ascii="仿宋" w:hAnsi="仿宋" w:eastAsia="仿宋" w:cs="仿宋"/>
          <w:color w:val="auto"/>
          <w:sz w:val="32"/>
          <w:szCs w:val="32"/>
        </w:rPr>
        <w:t>月至今，在望变电气任独立董事。</w:t>
      </w:r>
    </w:p>
    <w:p w14:paraId="1499AC8F">
      <w:pPr>
        <w:spacing w:line="360" w:lineRule="auto"/>
        <w:ind w:right="127" w:firstLine="624" w:firstLineChars="200"/>
        <w:jc w:val="both"/>
        <w:rPr>
          <w:rFonts w:ascii="仿宋" w:hAnsi="仿宋" w:eastAsia="仿宋" w:cs="仿宋"/>
          <w:color w:val="auto"/>
          <w:spacing w:val="-2"/>
          <w:sz w:val="32"/>
          <w:szCs w:val="32"/>
        </w:rPr>
      </w:pPr>
      <w:r>
        <w:rPr>
          <w:rFonts w:hint="eastAsia" w:ascii="仿宋" w:hAnsi="仿宋" w:eastAsia="仿宋" w:cs="仿宋"/>
          <w:color w:val="auto"/>
          <w:spacing w:val="-4"/>
          <w:sz w:val="32"/>
          <w:szCs w:val="32"/>
        </w:rPr>
        <w:t>作为公司</w:t>
      </w:r>
      <w:r>
        <w:rPr>
          <w:rFonts w:hint="eastAsia" w:ascii="仿宋" w:hAnsi="仿宋" w:eastAsia="仿宋" w:cs="仿宋"/>
          <w:color w:val="auto"/>
          <w:spacing w:val="-9"/>
          <w:sz w:val="32"/>
          <w:szCs w:val="32"/>
        </w:rPr>
        <w:t>的独立董事，本人及直系亲属均不持有本公司股份，本人不在公</w:t>
      </w:r>
      <w:r>
        <w:rPr>
          <w:rFonts w:hint="eastAsia" w:ascii="仿宋" w:hAnsi="仿宋" w:eastAsia="仿宋" w:cs="仿宋"/>
          <w:color w:val="auto"/>
          <w:spacing w:val="-16"/>
          <w:sz w:val="32"/>
          <w:szCs w:val="32"/>
        </w:rPr>
        <w:t>司担任</w:t>
      </w:r>
      <w:r>
        <w:rPr>
          <w:rFonts w:hint="eastAsia" w:ascii="仿宋" w:hAnsi="仿宋" w:eastAsia="仿宋" w:cs="仿宋"/>
          <w:color w:val="auto"/>
          <w:spacing w:val="-10"/>
          <w:sz w:val="32"/>
          <w:szCs w:val="32"/>
        </w:rPr>
        <w:t>除</w:t>
      </w:r>
      <w:r>
        <w:rPr>
          <w:rFonts w:hint="eastAsia" w:ascii="仿宋" w:hAnsi="仿宋" w:eastAsia="仿宋" w:cs="仿宋"/>
          <w:color w:val="auto"/>
          <w:spacing w:val="-8"/>
          <w:sz w:val="32"/>
          <w:szCs w:val="32"/>
        </w:rPr>
        <w:t>独立董事以外的其他任何职务，也不在公司股东单位担任任何职务，与公司及公司</w:t>
      </w:r>
      <w:r>
        <w:rPr>
          <w:rFonts w:hint="eastAsia" w:ascii="仿宋" w:hAnsi="仿宋" w:eastAsia="仿宋" w:cs="仿宋"/>
          <w:color w:val="auto"/>
          <w:spacing w:val="-10"/>
          <w:sz w:val="32"/>
          <w:szCs w:val="32"/>
        </w:rPr>
        <w:t>股东或有利</w:t>
      </w:r>
      <w:r>
        <w:rPr>
          <w:rFonts w:hint="eastAsia" w:ascii="仿宋" w:hAnsi="仿宋" w:eastAsia="仿宋" w:cs="仿宋"/>
          <w:color w:val="auto"/>
          <w:spacing w:val="-8"/>
          <w:sz w:val="32"/>
          <w:szCs w:val="32"/>
        </w:rPr>
        <w:t>害</w:t>
      </w:r>
      <w:r>
        <w:rPr>
          <w:rFonts w:hint="eastAsia" w:ascii="仿宋" w:hAnsi="仿宋" w:eastAsia="仿宋" w:cs="仿宋"/>
          <w:color w:val="auto"/>
          <w:spacing w:val="-5"/>
          <w:sz w:val="32"/>
          <w:szCs w:val="32"/>
        </w:rPr>
        <w:t>关系的机构和人员不存在任何可能妨碍本人进行独立客观判断的关系，没有从</w:t>
      </w:r>
      <w:r>
        <w:rPr>
          <w:rFonts w:hint="eastAsia" w:ascii="仿宋" w:hAnsi="仿宋" w:eastAsia="仿宋" w:cs="仿宋"/>
          <w:color w:val="auto"/>
          <w:spacing w:val="-4"/>
          <w:sz w:val="32"/>
          <w:szCs w:val="32"/>
        </w:rPr>
        <w:t>公司及公司股东或有利害关系的</w:t>
      </w:r>
      <w:r>
        <w:rPr>
          <w:rFonts w:hint="eastAsia" w:ascii="仿宋" w:hAnsi="仿宋" w:eastAsia="仿宋" w:cs="仿宋"/>
          <w:color w:val="auto"/>
          <w:spacing w:val="-3"/>
          <w:sz w:val="32"/>
          <w:szCs w:val="32"/>
        </w:rPr>
        <w:t>机</w:t>
      </w:r>
      <w:r>
        <w:rPr>
          <w:rFonts w:hint="eastAsia" w:ascii="仿宋" w:hAnsi="仿宋" w:eastAsia="仿宋" w:cs="仿宋"/>
          <w:color w:val="auto"/>
          <w:spacing w:val="-2"/>
          <w:sz w:val="32"/>
          <w:szCs w:val="32"/>
        </w:rPr>
        <w:t>构和人员取得额外、未予披露的其他利益。本</w:t>
      </w:r>
      <w:r>
        <w:rPr>
          <w:rFonts w:hint="eastAsia" w:ascii="仿宋" w:hAnsi="仿宋" w:eastAsia="仿宋" w:cs="仿宋"/>
          <w:color w:val="auto"/>
          <w:spacing w:val="-3"/>
          <w:sz w:val="32"/>
          <w:szCs w:val="32"/>
        </w:rPr>
        <w:t>人不存在影响独立性的情况</w:t>
      </w:r>
      <w:r>
        <w:rPr>
          <w:rFonts w:hint="eastAsia" w:ascii="仿宋" w:hAnsi="仿宋" w:eastAsia="仿宋" w:cs="仿宋"/>
          <w:color w:val="auto"/>
          <w:spacing w:val="-2"/>
          <w:sz w:val="32"/>
          <w:szCs w:val="32"/>
        </w:rPr>
        <w:t>。</w:t>
      </w:r>
    </w:p>
    <w:p w14:paraId="667D96FB">
      <w:pPr>
        <w:pStyle w:val="12"/>
        <w:numPr>
          <w:ilvl w:val="0"/>
          <w:numId w:val="1"/>
        </w:numPr>
        <w:spacing w:line="360" w:lineRule="auto"/>
        <w:ind w:firstLineChars="0"/>
        <w:outlineLvl w:val="0"/>
        <w:rPr>
          <w:rFonts w:ascii="仿宋" w:hAnsi="仿宋" w:eastAsia="仿宋" w:cs="仿宋"/>
          <w:color w:val="auto"/>
          <w:sz w:val="32"/>
          <w:szCs w:val="32"/>
        </w:rPr>
      </w:pPr>
      <w:r>
        <w:rPr>
          <w:rFonts w:hint="eastAsia" w:ascii="仿宋" w:hAnsi="仿宋" w:eastAsia="仿宋" w:cs="仿宋"/>
          <w:color w:val="auto"/>
          <w:sz w:val="32"/>
          <w:szCs w:val="32"/>
          <w14:textOutline w14:w="4356" w14:cap="flat" w14:cmpd="sng" w14:algn="ctr">
            <w14:solidFill>
              <w14:srgbClr w14:val="000000"/>
            </w14:solidFill>
            <w14:prstDash w14:val="solid"/>
            <w14:miter w14:val="0"/>
          </w14:textOutline>
        </w:rPr>
        <w:t>202</w:t>
      </w:r>
      <w:r>
        <w:rPr>
          <w:rFonts w:ascii="仿宋" w:hAnsi="仿宋" w:eastAsia="仿宋" w:cs="仿宋"/>
          <w:color w:val="auto"/>
          <w:sz w:val="32"/>
          <w:szCs w:val="32"/>
          <w14:textOutline w14:w="4356" w14:cap="flat" w14:cmpd="sng" w14:algn="ctr">
            <w14:solidFill>
              <w14:srgbClr w14:val="000000"/>
            </w14:solidFill>
            <w14:prstDash w14:val="solid"/>
            <w14:miter w14:val="0"/>
          </w14:textOutline>
        </w:rPr>
        <w:t>4</w:t>
      </w:r>
      <w:r>
        <w:rPr>
          <w:rFonts w:hint="eastAsia" w:ascii="仿宋" w:hAnsi="仿宋" w:eastAsia="仿宋" w:cs="仿宋"/>
          <w:color w:val="auto"/>
          <w:sz w:val="32"/>
          <w:szCs w:val="32"/>
          <w14:textOutline w14:w="4356" w14:cap="flat" w14:cmpd="sng" w14:algn="ctr">
            <w14:solidFill>
              <w14:srgbClr w14:val="000000"/>
            </w14:solidFill>
            <w14:prstDash w14:val="solid"/>
            <w14:miter w14:val="0"/>
          </w14:textOutline>
        </w:rPr>
        <w:t>年度履职情况</w:t>
      </w:r>
    </w:p>
    <w:p w14:paraId="11A83467">
      <w:pPr>
        <w:numPr>
          <w:ilvl w:val="0"/>
          <w:numId w:val="2"/>
        </w:numPr>
        <w:spacing w:line="360" w:lineRule="auto"/>
        <w:ind w:right="127" w:firstLine="647" w:firstLineChars="200"/>
        <w:jc w:val="both"/>
        <w:rPr>
          <w:rFonts w:ascii="仿宋" w:hAnsi="仿宋" w:eastAsia="仿宋" w:cs="仿宋"/>
          <w:color w:val="auto"/>
          <w:sz w:val="32"/>
          <w:szCs w:val="32"/>
        </w:rPr>
      </w:pPr>
      <w:r>
        <w:rPr>
          <w:rFonts w:hint="eastAsia" w:ascii="仿宋" w:hAnsi="仿宋" w:eastAsia="仿宋" w:cs="仿宋"/>
          <w:b/>
          <w:bCs/>
          <w:color w:val="auto"/>
          <w:spacing w:val="1"/>
          <w:sz w:val="32"/>
          <w:szCs w:val="32"/>
        </w:rPr>
        <w:t>出席董事会、股东会的情况</w:t>
      </w:r>
    </w:p>
    <w:tbl>
      <w:tblPr>
        <w:tblStyle w:val="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276"/>
        <w:gridCol w:w="709"/>
        <w:gridCol w:w="992"/>
        <w:gridCol w:w="992"/>
        <w:gridCol w:w="851"/>
        <w:gridCol w:w="1417"/>
        <w:gridCol w:w="1276"/>
      </w:tblGrid>
      <w:tr w14:paraId="0D42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0" w:type="dxa"/>
            <w:vMerge w:val="restart"/>
            <w:vAlign w:val="center"/>
          </w:tcPr>
          <w:p w14:paraId="7CEF0325">
            <w:pPr>
              <w:widowControl w:val="0"/>
              <w:kinsoku/>
              <w:autoSpaceDE/>
              <w:autoSpaceDN/>
              <w:adjustRightInd/>
              <w:snapToGrid/>
              <w:spacing w:line="360" w:lineRule="auto"/>
              <w:jc w:val="center"/>
              <w:textAlignment w:val="auto"/>
              <w:rPr>
                <w:rFonts w:ascii="仿宋" w:hAnsi="仿宋" w:eastAsia="仿宋" w:cs="仿宋"/>
                <w:color w:val="auto"/>
                <w:sz w:val="24"/>
                <w:szCs w:val="24"/>
              </w:rPr>
            </w:pPr>
          </w:p>
          <w:sdt>
            <w:sdtPr>
              <w:rPr>
                <w:rFonts w:hint="eastAsia" w:ascii="仿宋" w:hAnsi="仿宋" w:eastAsia="仿宋" w:cs="仿宋"/>
                <w:color w:val="auto"/>
                <w:sz w:val="24"/>
                <w:szCs w:val="24"/>
              </w:rPr>
              <w:tag w:val="_PLD_fdf987702b2e46a4aaa1e3f20787a76c"/>
              <w:id w:val="419915968"/>
              <w:lock w:val="sdtLocked"/>
            </w:sdtPr>
            <w:sdtEndPr>
              <w:rPr>
                <w:rFonts w:hint="eastAsia" w:ascii="仿宋" w:hAnsi="仿宋" w:eastAsia="仿宋" w:cs="仿宋"/>
                <w:snapToGrid/>
                <w:color w:val="auto"/>
                <w:sz w:val="24"/>
                <w:szCs w:val="24"/>
              </w:rPr>
            </w:sdtEndPr>
            <w:sdtContent>
              <w:p w14:paraId="78589754">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董事</w:t>
                </w:r>
              </w:p>
              <w:p w14:paraId="79B25923">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姓名</w:t>
                </w:r>
              </w:p>
            </w:sdtContent>
          </w:sdt>
        </w:tc>
        <w:sdt>
          <w:sdtPr>
            <w:rPr>
              <w:rFonts w:hint="eastAsia" w:ascii="仿宋" w:hAnsi="仿宋" w:eastAsia="仿宋" w:cs="仿宋"/>
              <w:color w:val="auto"/>
              <w:sz w:val="24"/>
              <w:szCs w:val="24"/>
            </w:rPr>
            <w:tag w:val="_PLD_8c944f740a3a4784938038ab19e3a6ed"/>
            <w:id w:val="-259754918"/>
            <w:lock w:val="sdtLocked"/>
          </w:sdtPr>
          <w:sdtEndPr>
            <w:rPr>
              <w:rFonts w:hint="eastAsia" w:ascii="仿宋" w:hAnsi="仿宋" w:eastAsia="仿宋" w:cs="仿宋"/>
              <w:snapToGrid/>
              <w:color w:val="auto"/>
              <w:sz w:val="24"/>
              <w:szCs w:val="24"/>
            </w:rPr>
          </w:sdtEndPr>
          <w:sdtContent>
            <w:tc>
              <w:tcPr>
                <w:tcW w:w="992" w:type="dxa"/>
                <w:vMerge w:val="restart"/>
                <w:vAlign w:val="center"/>
              </w:tcPr>
              <w:p w14:paraId="4A129C02">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是否独立董事</w:t>
                </w:r>
              </w:p>
            </w:tc>
          </w:sdtContent>
        </w:sdt>
        <w:sdt>
          <w:sdtPr>
            <w:rPr>
              <w:rFonts w:hint="eastAsia" w:ascii="仿宋" w:hAnsi="仿宋" w:eastAsia="仿宋" w:cs="仿宋"/>
              <w:color w:val="auto"/>
              <w:sz w:val="24"/>
              <w:szCs w:val="24"/>
            </w:rPr>
            <w:tag w:val="_PLD_41002b55426142459adadb76d790d586"/>
            <w:id w:val="-26868293"/>
            <w:lock w:val="sdtLocked"/>
          </w:sdtPr>
          <w:sdtEndPr>
            <w:rPr>
              <w:rFonts w:hint="eastAsia" w:ascii="仿宋" w:hAnsi="仿宋" w:eastAsia="仿宋" w:cs="仿宋"/>
              <w:snapToGrid/>
              <w:color w:val="auto"/>
              <w:sz w:val="24"/>
              <w:szCs w:val="24"/>
            </w:rPr>
          </w:sdtEndPr>
          <w:sdtContent>
            <w:tc>
              <w:tcPr>
                <w:tcW w:w="6237" w:type="dxa"/>
                <w:gridSpan w:val="6"/>
                <w:vAlign w:val="center"/>
              </w:tcPr>
              <w:p w14:paraId="46F7E227">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参加董事会情况</w:t>
                </w:r>
              </w:p>
            </w:tc>
          </w:sdtContent>
        </w:sdt>
        <w:sdt>
          <w:sdtPr>
            <w:rPr>
              <w:rFonts w:hint="eastAsia" w:ascii="仿宋" w:hAnsi="仿宋" w:eastAsia="仿宋" w:cs="仿宋"/>
              <w:color w:val="auto"/>
              <w:sz w:val="24"/>
              <w:szCs w:val="24"/>
            </w:rPr>
            <w:tag w:val="_PLD_a86ab0ba65874193bf46821cd6a13f4f"/>
            <w:id w:val="334508182"/>
            <w:lock w:val="sdtLocked"/>
          </w:sdtPr>
          <w:sdtEndPr>
            <w:rPr>
              <w:rFonts w:hint="eastAsia" w:ascii="仿宋" w:hAnsi="仿宋" w:eastAsia="仿宋" w:cs="仿宋"/>
              <w:snapToGrid/>
              <w:color w:val="auto"/>
              <w:sz w:val="24"/>
              <w:szCs w:val="24"/>
            </w:rPr>
          </w:sdtEndPr>
          <w:sdtContent>
            <w:tc>
              <w:tcPr>
                <w:tcW w:w="1276" w:type="dxa"/>
                <w:vAlign w:val="center"/>
              </w:tcPr>
              <w:p w14:paraId="2EABBB73">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参加股东大会情况</w:t>
                </w:r>
              </w:p>
            </w:tc>
          </w:sdtContent>
        </w:sdt>
      </w:tr>
      <w:tr w14:paraId="578F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10" w:type="dxa"/>
            <w:vMerge w:val="continue"/>
          </w:tcPr>
          <w:p w14:paraId="5D09CA9B">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p>
        </w:tc>
        <w:tc>
          <w:tcPr>
            <w:tcW w:w="992" w:type="dxa"/>
            <w:vMerge w:val="continue"/>
          </w:tcPr>
          <w:p w14:paraId="5BAE8AD4">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p>
        </w:tc>
        <w:sdt>
          <w:sdtPr>
            <w:rPr>
              <w:rFonts w:hint="eastAsia" w:ascii="仿宋" w:hAnsi="仿宋" w:eastAsia="仿宋" w:cs="仿宋"/>
              <w:color w:val="auto"/>
              <w:sz w:val="24"/>
              <w:szCs w:val="24"/>
            </w:rPr>
            <w:tag w:val="_PLD_1be3bc3a3d894e22b017b70a7c691233"/>
            <w:id w:val="1266888258"/>
            <w:lock w:val="sdtLocked"/>
          </w:sdtPr>
          <w:sdtEndPr>
            <w:rPr>
              <w:rFonts w:hint="eastAsia" w:ascii="仿宋" w:hAnsi="仿宋" w:eastAsia="仿宋" w:cs="仿宋"/>
              <w:snapToGrid/>
              <w:color w:val="auto"/>
              <w:sz w:val="24"/>
              <w:szCs w:val="24"/>
            </w:rPr>
          </w:sdtEndPr>
          <w:sdtContent>
            <w:tc>
              <w:tcPr>
                <w:tcW w:w="1276" w:type="dxa"/>
                <w:vAlign w:val="center"/>
              </w:tcPr>
              <w:p w14:paraId="5210BDC8">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本年应参加董事会次数</w:t>
                </w:r>
              </w:p>
            </w:tc>
          </w:sdtContent>
        </w:sdt>
        <w:sdt>
          <w:sdtPr>
            <w:rPr>
              <w:rFonts w:hint="eastAsia" w:ascii="仿宋" w:hAnsi="仿宋" w:eastAsia="仿宋" w:cs="仿宋"/>
              <w:color w:val="auto"/>
              <w:sz w:val="24"/>
              <w:szCs w:val="24"/>
            </w:rPr>
            <w:tag w:val="_PLD_3e45fc9802f241cb8e17735983417e9b"/>
            <w:id w:val="-362371327"/>
            <w:lock w:val="sdtLocked"/>
          </w:sdtPr>
          <w:sdtEndPr>
            <w:rPr>
              <w:rFonts w:hint="eastAsia" w:ascii="仿宋" w:hAnsi="仿宋" w:eastAsia="仿宋" w:cs="仿宋"/>
              <w:snapToGrid/>
              <w:color w:val="auto"/>
              <w:sz w:val="24"/>
              <w:szCs w:val="24"/>
            </w:rPr>
          </w:sdtEndPr>
          <w:sdtContent>
            <w:tc>
              <w:tcPr>
                <w:tcW w:w="709" w:type="dxa"/>
                <w:vAlign w:val="center"/>
              </w:tcPr>
              <w:p w14:paraId="674D8888">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亲自出席次数</w:t>
                </w:r>
              </w:p>
            </w:tc>
          </w:sdtContent>
        </w:sdt>
        <w:sdt>
          <w:sdtPr>
            <w:rPr>
              <w:rFonts w:hint="eastAsia" w:ascii="仿宋" w:hAnsi="仿宋" w:eastAsia="仿宋" w:cs="仿宋"/>
              <w:color w:val="auto"/>
              <w:sz w:val="24"/>
              <w:szCs w:val="24"/>
            </w:rPr>
            <w:tag w:val="_PLD_5b2f1e699fe34def868fe8b765d768ba"/>
            <w:id w:val="1020672869"/>
            <w:lock w:val="sdtLocked"/>
          </w:sdtPr>
          <w:sdtEndPr>
            <w:rPr>
              <w:rFonts w:hint="eastAsia" w:ascii="仿宋" w:hAnsi="仿宋" w:eastAsia="仿宋" w:cs="仿宋"/>
              <w:snapToGrid/>
              <w:color w:val="auto"/>
              <w:sz w:val="24"/>
              <w:szCs w:val="24"/>
            </w:rPr>
          </w:sdtEndPr>
          <w:sdtContent>
            <w:tc>
              <w:tcPr>
                <w:tcW w:w="992" w:type="dxa"/>
                <w:vAlign w:val="center"/>
              </w:tcPr>
              <w:p w14:paraId="247BB24F">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以通讯方式参加次数</w:t>
                </w:r>
              </w:p>
            </w:tc>
          </w:sdtContent>
        </w:sdt>
        <w:sdt>
          <w:sdtPr>
            <w:rPr>
              <w:rFonts w:hint="eastAsia" w:ascii="仿宋" w:hAnsi="仿宋" w:eastAsia="仿宋" w:cs="仿宋"/>
              <w:color w:val="auto"/>
              <w:sz w:val="24"/>
              <w:szCs w:val="24"/>
            </w:rPr>
            <w:tag w:val="_PLD_981a0cb863d94703a5482c1ca67d4cb5"/>
            <w:id w:val="-188675750"/>
            <w:lock w:val="sdtLocked"/>
          </w:sdtPr>
          <w:sdtEndPr>
            <w:rPr>
              <w:rFonts w:hint="eastAsia" w:ascii="仿宋" w:hAnsi="仿宋" w:eastAsia="仿宋" w:cs="仿宋"/>
              <w:snapToGrid/>
              <w:color w:val="auto"/>
              <w:sz w:val="24"/>
              <w:szCs w:val="24"/>
            </w:rPr>
          </w:sdtEndPr>
          <w:sdtContent>
            <w:tc>
              <w:tcPr>
                <w:tcW w:w="992" w:type="dxa"/>
                <w:vAlign w:val="center"/>
              </w:tcPr>
              <w:p w14:paraId="38743F91">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委托出席次数</w:t>
                </w:r>
              </w:p>
            </w:tc>
          </w:sdtContent>
        </w:sdt>
        <w:sdt>
          <w:sdtPr>
            <w:rPr>
              <w:rFonts w:hint="eastAsia" w:ascii="仿宋" w:hAnsi="仿宋" w:eastAsia="仿宋" w:cs="仿宋"/>
              <w:color w:val="auto"/>
              <w:sz w:val="24"/>
              <w:szCs w:val="24"/>
            </w:rPr>
            <w:tag w:val="_PLD_e955143b8973461bb11aa6e64e6bb542"/>
            <w:id w:val="183567938"/>
            <w:lock w:val="sdtLocked"/>
          </w:sdtPr>
          <w:sdtEndPr>
            <w:rPr>
              <w:rFonts w:hint="eastAsia" w:ascii="仿宋" w:hAnsi="仿宋" w:eastAsia="仿宋" w:cs="仿宋"/>
              <w:snapToGrid/>
              <w:color w:val="auto"/>
              <w:sz w:val="24"/>
              <w:szCs w:val="24"/>
            </w:rPr>
          </w:sdtEndPr>
          <w:sdtContent>
            <w:tc>
              <w:tcPr>
                <w:tcW w:w="851" w:type="dxa"/>
                <w:vAlign w:val="center"/>
              </w:tcPr>
              <w:p w14:paraId="5EB7605C">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缺席</w:t>
                </w:r>
              </w:p>
              <w:p w14:paraId="3BF89C96">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次数</w:t>
                </w:r>
              </w:p>
            </w:tc>
          </w:sdtContent>
        </w:sdt>
        <w:sdt>
          <w:sdtPr>
            <w:rPr>
              <w:rFonts w:hint="eastAsia" w:ascii="仿宋" w:hAnsi="仿宋" w:eastAsia="仿宋" w:cs="仿宋"/>
              <w:color w:val="auto"/>
              <w:sz w:val="24"/>
              <w:szCs w:val="24"/>
            </w:rPr>
            <w:tag w:val="_PLD_c94de7a455d94af5b8ffe4cc736c4b46"/>
            <w:id w:val="1450975485"/>
            <w:lock w:val="sdtLocked"/>
          </w:sdtPr>
          <w:sdtEndPr>
            <w:rPr>
              <w:rFonts w:hint="eastAsia" w:ascii="仿宋" w:hAnsi="仿宋" w:eastAsia="仿宋" w:cs="仿宋"/>
              <w:snapToGrid/>
              <w:color w:val="auto"/>
              <w:sz w:val="24"/>
              <w:szCs w:val="24"/>
            </w:rPr>
          </w:sdtEndPr>
          <w:sdtContent>
            <w:tc>
              <w:tcPr>
                <w:tcW w:w="1417" w:type="dxa"/>
                <w:vAlign w:val="center"/>
              </w:tcPr>
              <w:p w14:paraId="4B9C074D">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是否连续两次未亲自参加会议</w:t>
                </w:r>
              </w:p>
            </w:tc>
          </w:sdtContent>
        </w:sdt>
        <w:sdt>
          <w:sdtPr>
            <w:rPr>
              <w:rFonts w:hint="eastAsia" w:ascii="仿宋" w:hAnsi="仿宋" w:eastAsia="仿宋" w:cs="仿宋"/>
              <w:color w:val="auto"/>
              <w:sz w:val="24"/>
              <w:szCs w:val="24"/>
            </w:rPr>
            <w:tag w:val="_PLD_7f17c2a5ff9540709fafff9460b0756d"/>
            <w:id w:val="-956106833"/>
            <w:lock w:val="sdtLocked"/>
          </w:sdtPr>
          <w:sdtEndPr>
            <w:rPr>
              <w:rFonts w:hint="eastAsia" w:ascii="仿宋" w:hAnsi="仿宋" w:eastAsia="仿宋" w:cs="仿宋"/>
              <w:snapToGrid/>
              <w:color w:val="auto"/>
              <w:sz w:val="24"/>
              <w:szCs w:val="24"/>
            </w:rPr>
          </w:sdtEndPr>
          <w:sdtContent>
            <w:tc>
              <w:tcPr>
                <w:tcW w:w="1276" w:type="dxa"/>
                <w:vAlign w:val="center"/>
              </w:tcPr>
              <w:p w14:paraId="3BD0E286">
                <w:pPr>
                  <w:widowControl w:val="0"/>
                  <w:kinsoku/>
                  <w:autoSpaceDE/>
                  <w:autoSpaceDN/>
                  <w:adjustRightInd/>
                  <w:snapToGrid/>
                  <w:spacing w:line="360" w:lineRule="auto"/>
                  <w:jc w:val="center"/>
                  <w:textAlignment w:val="auto"/>
                  <w:rPr>
                    <w:rFonts w:ascii="仿宋" w:hAnsi="仿宋" w:eastAsia="仿宋" w:cs="仿宋"/>
                    <w:b/>
                    <w:snapToGrid/>
                    <w:color w:val="auto"/>
                    <w:sz w:val="24"/>
                    <w:szCs w:val="24"/>
                  </w:rPr>
                </w:pPr>
                <w:r>
                  <w:rPr>
                    <w:rFonts w:hint="eastAsia" w:ascii="仿宋" w:hAnsi="仿宋" w:eastAsia="仿宋" w:cs="仿宋"/>
                    <w:snapToGrid/>
                    <w:color w:val="auto"/>
                    <w:sz w:val="24"/>
                    <w:szCs w:val="24"/>
                  </w:rPr>
                  <w:t>出席股东大会的次数</w:t>
                </w:r>
              </w:p>
            </w:tc>
          </w:sdtContent>
        </w:sdt>
      </w:tr>
      <w:tr w14:paraId="0CCC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0" w:type="dxa"/>
          </w:tcPr>
          <w:p w14:paraId="2543C81F">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赵宇</w:t>
            </w:r>
          </w:p>
        </w:tc>
        <w:tc>
          <w:tcPr>
            <w:tcW w:w="992" w:type="dxa"/>
          </w:tcPr>
          <w:p w14:paraId="34610469">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是</w:t>
            </w:r>
          </w:p>
        </w:tc>
        <w:tc>
          <w:tcPr>
            <w:tcW w:w="1276" w:type="dxa"/>
          </w:tcPr>
          <w:p w14:paraId="08F2FE00">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8</w:t>
            </w:r>
          </w:p>
        </w:tc>
        <w:tc>
          <w:tcPr>
            <w:tcW w:w="709" w:type="dxa"/>
          </w:tcPr>
          <w:p w14:paraId="6D06EEE9">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8</w:t>
            </w:r>
          </w:p>
        </w:tc>
        <w:tc>
          <w:tcPr>
            <w:tcW w:w="992" w:type="dxa"/>
          </w:tcPr>
          <w:p w14:paraId="3E08413A">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7</w:t>
            </w:r>
          </w:p>
        </w:tc>
        <w:tc>
          <w:tcPr>
            <w:tcW w:w="992" w:type="dxa"/>
          </w:tcPr>
          <w:p w14:paraId="5DBB2D27">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0</w:t>
            </w:r>
          </w:p>
        </w:tc>
        <w:tc>
          <w:tcPr>
            <w:tcW w:w="851" w:type="dxa"/>
          </w:tcPr>
          <w:p w14:paraId="70C01E43">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0</w:t>
            </w:r>
          </w:p>
        </w:tc>
        <w:tc>
          <w:tcPr>
            <w:tcW w:w="1417" w:type="dxa"/>
          </w:tcPr>
          <w:p w14:paraId="1555DC2A">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否</w:t>
            </w:r>
          </w:p>
        </w:tc>
        <w:tc>
          <w:tcPr>
            <w:tcW w:w="1276" w:type="dxa"/>
          </w:tcPr>
          <w:p w14:paraId="19EBF96C">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4</w:t>
            </w:r>
          </w:p>
        </w:tc>
      </w:tr>
    </w:tbl>
    <w:p w14:paraId="1BE1D975">
      <w:pPr>
        <w:spacing w:line="360" w:lineRule="auto"/>
        <w:ind w:right="127" w:firstLine="608" w:firstLineChars="200"/>
        <w:jc w:val="both"/>
        <w:rPr>
          <w:rFonts w:ascii="仿宋" w:hAnsi="仿宋" w:eastAsia="仿宋" w:cs="仿宋"/>
          <w:color w:val="auto"/>
          <w:spacing w:val="-8"/>
          <w:sz w:val="32"/>
          <w:szCs w:val="32"/>
        </w:rPr>
      </w:pPr>
      <w:r>
        <w:rPr>
          <w:rFonts w:hint="eastAsia" w:ascii="仿宋" w:hAnsi="仿宋" w:eastAsia="仿宋" w:cs="仿宋"/>
          <w:color w:val="auto"/>
          <w:spacing w:val="-8"/>
          <w:sz w:val="32"/>
          <w:szCs w:val="32"/>
        </w:rPr>
        <w:t>本人对提交董事会的议案进行认真审议，以独立、客观、审慎的态度行使表决权，本人认为公司重大经营事项和其他重大事项均履行了相关审批程序，合法有效，无提出异议的事项，也没有反对、弃权的情形。</w:t>
      </w:r>
    </w:p>
    <w:p w14:paraId="1889B90E">
      <w:pPr>
        <w:spacing w:line="360" w:lineRule="auto"/>
        <w:ind w:firstLine="317" w:firstLineChars="1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（二）参与董事会专门委员会工作情况</w:t>
      </w:r>
    </w:p>
    <w:p w14:paraId="41BD6016">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报告期内，公司董事会下设四大专门委员会(战略、审计、提名、薪酬与考核委员会)，本人担任公司提名委员会主任委员、董事会薪酬与考核委员会成员。</w:t>
      </w:r>
    </w:p>
    <w:p w14:paraId="63ACF705">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报告期内，公司共召开了</w:t>
      </w:r>
      <w:r>
        <w:rPr>
          <w:rFonts w:ascii="仿宋" w:hAnsi="仿宋" w:eastAsia="仿宋" w:cs="仿宋"/>
          <w:color w:val="auto"/>
          <w:spacing w:val="-2"/>
          <w:sz w:val="32"/>
          <w:szCs w:val="32"/>
        </w:rPr>
        <w:t>1</w:t>
      </w:r>
      <w:r>
        <w:rPr>
          <w:rFonts w:hint="eastAsia" w:ascii="仿宋" w:hAnsi="仿宋" w:eastAsia="仿宋" w:cs="仿宋"/>
          <w:color w:val="auto"/>
          <w:spacing w:val="-2"/>
          <w:sz w:val="32"/>
          <w:szCs w:val="32"/>
        </w:rPr>
        <w:t>次提名委员会和</w:t>
      </w:r>
      <w:r>
        <w:rPr>
          <w:rFonts w:ascii="仿宋" w:hAnsi="仿宋" w:eastAsia="仿宋" w:cs="仿宋"/>
          <w:color w:val="auto"/>
          <w:spacing w:val="-2"/>
          <w:sz w:val="32"/>
          <w:szCs w:val="32"/>
        </w:rPr>
        <w:t>3</w:t>
      </w:r>
      <w:r>
        <w:rPr>
          <w:rFonts w:hint="eastAsia" w:ascii="仿宋" w:hAnsi="仿宋" w:eastAsia="仿宋" w:cs="仿宋"/>
          <w:color w:val="auto"/>
          <w:spacing w:val="-2"/>
          <w:sz w:val="32"/>
          <w:szCs w:val="32"/>
        </w:rPr>
        <w:t>次薪酬与考核委员会会议。本人均严格按照公司董事会专门委员会相关工作规则的规定，亲自参加了相关会议，对相关议案进行了认真审查，未有提出反对或弃权的情况。本人利用自身所具备的专业知识和工作经验，忠实勤勉地履行职责，为公司董事会科学决策提供了建设性意见。</w:t>
      </w:r>
    </w:p>
    <w:p w14:paraId="7D8D6E0D">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（三）参与独立董事专门会议工作情况</w:t>
      </w:r>
    </w:p>
    <w:p w14:paraId="39E245C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报告期内公司共召开</w:t>
      </w:r>
      <w:r>
        <w:rPr>
          <w:rFonts w:ascii="仿宋" w:hAnsi="仿宋" w:eastAsia="仿宋" w:cs="仿宋"/>
          <w:color w:val="auto"/>
          <w:spacing w:val="-2"/>
          <w:sz w:val="32"/>
          <w:szCs w:val="32"/>
        </w:rPr>
        <w:t>2</w:t>
      </w:r>
      <w:r>
        <w:rPr>
          <w:rFonts w:hint="eastAsia" w:ascii="仿宋" w:hAnsi="仿宋" w:eastAsia="仿宋" w:cs="仿宋"/>
          <w:color w:val="auto"/>
          <w:spacing w:val="-2"/>
          <w:sz w:val="32"/>
          <w:szCs w:val="32"/>
        </w:rPr>
        <w:t>次独立董事专门会议，本人均亲自出席，作为公司独立董事，积极履行独立董事专门会议成员职责：</w:t>
      </w:r>
    </w:p>
    <w:p w14:paraId="389C377E">
      <w:pPr>
        <w:spacing w:line="360" w:lineRule="auto"/>
        <w:ind w:firstLine="640" w:firstLineChars="200"/>
        <w:jc w:val="both"/>
        <w:rPr>
          <w:rFonts w:ascii="仿宋" w:hAnsi="仿宋" w:eastAsia="仿宋" w:cs="仿宋"/>
          <w:color w:val="auto"/>
          <w:spacing w:val="-2"/>
          <w:sz w:val="32"/>
          <w:szCs w:val="32"/>
        </w:rPr>
      </w:pPr>
      <w:r>
        <w:rPr>
          <w:rFonts w:hint="eastAsia" w:ascii="仿宋" w:hAnsi="仿宋" w:eastAsia="仿宋" w:cs="仿宋"/>
          <w:color w:val="auto"/>
          <w:sz w:val="32"/>
          <w:szCs w:val="32"/>
        </w:rPr>
        <w:t>（1）202</w:t>
      </w:r>
      <w:r>
        <w:rPr>
          <w:rFonts w:ascii="仿宋" w:hAnsi="仿宋" w:eastAsia="仿宋" w:cs="仿宋"/>
          <w:color w:val="auto"/>
          <w:sz w:val="32"/>
          <w:szCs w:val="32"/>
        </w:rPr>
        <w:t>4</w:t>
      </w:r>
      <w:r>
        <w:rPr>
          <w:rFonts w:hint="eastAsia" w:ascii="仿宋" w:hAnsi="仿宋" w:eastAsia="仿宋" w:cs="仿宋"/>
          <w:color w:val="auto"/>
          <w:sz w:val="32"/>
          <w:szCs w:val="32"/>
        </w:rPr>
        <w:t>年</w:t>
      </w:r>
      <w:r>
        <w:rPr>
          <w:rFonts w:ascii="仿宋" w:hAnsi="仿宋" w:eastAsia="仿宋" w:cs="仿宋"/>
          <w:color w:val="auto"/>
          <w:sz w:val="32"/>
          <w:szCs w:val="32"/>
        </w:rPr>
        <w:t>8</w:t>
      </w:r>
      <w:r>
        <w:rPr>
          <w:rFonts w:hint="eastAsia" w:ascii="仿宋" w:hAnsi="仿宋" w:eastAsia="仿宋" w:cs="仿宋"/>
          <w:color w:val="auto"/>
          <w:sz w:val="32"/>
          <w:szCs w:val="32"/>
        </w:rPr>
        <w:t>月</w:t>
      </w:r>
      <w:r>
        <w:rPr>
          <w:rFonts w:ascii="仿宋" w:hAnsi="仿宋" w:eastAsia="仿宋" w:cs="仿宋"/>
          <w:color w:val="auto"/>
          <w:sz w:val="32"/>
          <w:szCs w:val="32"/>
        </w:rPr>
        <w:t>28</w:t>
      </w:r>
      <w:r>
        <w:rPr>
          <w:rFonts w:hint="eastAsia" w:ascii="仿宋" w:hAnsi="仿宋" w:eastAsia="仿宋" w:cs="仿宋"/>
          <w:color w:val="auto"/>
          <w:sz w:val="32"/>
          <w:szCs w:val="32"/>
        </w:rPr>
        <w:t>日，参加了</w:t>
      </w:r>
      <w:r>
        <w:rPr>
          <w:rFonts w:hint="eastAsia" w:ascii="仿宋" w:hAnsi="仿宋" w:eastAsia="仿宋" w:cs="仿宋"/>
          <w:sz w:val="32"/>
          <w:szCs w:val="32"/>
        </w:rPr>
        <w:t>第四届董事会独立董事专门会议第一次会议</w:t>
      </w:r>
      <w:r>
        <w:rPr>
          <w:rFonts w:hint="eastAsia" w:ascii="仿宋" w:hAnsi="仿宋" w:eastAsia="仿宋" w:cs="仿宋"/>
          <w:color w:val="auto"/>
          <w:spacing w:val="-2"/>
          <w:sz w:val="32"/>
          <w:szCs w:val="32"/>
        </w:rPr>
        <w:t>，审议通过了</w:t>
      </w:r>
      <w:r>
        <w:rPr>
          <w:rFonts w:hint="eastAsia" w:ascii="仿宋" w:hAnsi="仿宋" w:eastAsia="仿宋" w:cs="仿宋"/>
          <w:color w:val="auto"/>
          <w:sz w:val="32"/>
          <w:szCs w:val="32"/>
        </w:rPr>
        <w:t>以下议案</w:t>
      </w:r>
      <w:r>
        <w:rPr>
          <w:rFonts w:hint="eastAsia" w:ascii="仿宋" w:hAnsi="仿宋" w:eastAsia="仿宋" w:cs="仿宋"/>
          <w:color w:val="auto"/>
          <w:spacing w:val="-2"/>
          <w:sz w:val="32"/>
          <w:szCs w:val="32"/>
        </w:rPr>
        <w:t>：《关于变更会计师事务所的议案》；</w:t>
      </w:r>
    </w:p>
    <w:p w14:paraId="5C099FD5">
      <w:pPr>
        <w:spacing w:line="360" w:lineRule="auto"/>
        <w:ind w:firstLine="640" w:firstLineChars="200"/>
        <w:jc w:val="both"/>
        <w:rPr>
          <w:rFonts w:ascii="仿宋" w:hAnsi="仿宋" w:eastAsia="仿宋" w:cs="仿宋"/>
          <w:b/>
          <w:bCs/>
          <w:color w:val="auto"/>
          <w:spacing w:val="-2"/>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）202</w:t>
      </w:r>
      <w:r>
        <w:rPr>
          <w:rFonts w:ascii="仿宋" w:hAnsi="仿宋" w:eastAsia="仿宋" w:cs="仿宋"/>
          <w:color w:val="auto"/>
          <w:sz w:val="32"/>
          <w:szCs w:val="32"/>
        </w:rPr>
        <w:t>4</w:t>
      </w:r>
      <w:r>
        <w:rPr>
          <w:rFonts w:hint="eastAsia" w:ascii="仿宋" w:hAnsi="仿宋" w:eastAsia="仿宋" w:cs="仿宋"/>
          <w:color w:val="auto"/>
          <w:sz w:val="32"/>
          <w:szCs w:val="32"/>
        </w:rPr>
        <w:t>年</w:t>
      </w:r>
      <w:r>
        <w:rPr>
          <w:rFonts w:ascii="仿宋" w:hAnsi="仿宋" w:eastAsia="仿宋" w:cs="仿宋"/>
          <w:color w:val="auto"/>
          <w:sz w:val="32"/>
          <w:szCs w:val="32"/>
        </w:rPr>
        <w:t>11</w:t>
      </w:r>
      <w:r>
        <w:rPr>
          <w:rFonts w:hint="eastAsia" w:ascii="仿宋" w:hAnsi="仿宋" w:eastAsia="仿宋" w:cs="仿宋"/>
          <w:color w:val="auto"/>
          <w:sz w:val="32"/>
          <w:szCs w:val="32"/>
        </w:rPr>
        <w:t>月</w:t>
      </w:r>
      <w:r>
        <w:rPr>
          <w:rFonts w:ascii="仿宋" w:hAnsi="仿宋" w:eastAsia="仿宋" w:cs="仿宋"/>
          <w:color w:val="auto"/>
          <w:sz w:val="32"/>
          <w:szCs w:val="32"/>
        </w:rPr>
        <w:t>26</w:t>
      </w:r>
      <w:r>
        <w:rPr>
          <w:rFonts w:hint="eastAsia" w:ascii="仿宋" w:hAnsi="仿宋" w:eastAsia="仿宋" w:cs="仿宋"/>
          <w:color w:val="auto"/>
          <w:sz w:val="32"/>
          <w:szCs w:val="32"/>
        </w:rPr>
        <w:t>日，参加了</w:t>
      </w:r>
      <w:r>
        <w:rPr>
          <w:rFonts w:hint="eastAsia" w:ascii="仿宋" w:hAnsi="仿宋" w:eastAsia="仿宋" w:cs="仿宋"/>
          <w:sz w:val="32"/>
          <w:szCs w:val="32"/>
        </w:rPr>
        <w:t>第四届董事会独立董事专门会议第二次会议</w:t>
      </w:r>
      <w:r>
        <w:rPr>
          <w:rFonts w:hint="eastAsia" w:ascii="仿宋" w:hAnsi="仿宋" w:eastAsia="仿宋" w:cs="仿宋"/>
          <w:color w:val="auto"/>
          <w:spacing w:val="-2"/>
          <w:sz w:val="32"/>
          <w:szCs w:val="32"/>
        </w:rPr>
        <w:t>，审议通过了</w:t>
      </w:r>
      <w:r>
        <w:rPr>
          <w:rFonts w:hint="eastAsia" w:ascii="仿宋" w:hAnsi="仿宋" w:eastAsia="仿宋" w:cs="仿宋"/>
          <w:color w:val="auto"/>
          <w:sz w:val="32"/>
          <w:szCs w:val="32"/>
        </w:rPr>
        <w:t>以下议案</w:t>
      </w:r>
      <w:r>
        <w:rPr>
          <w:rFonts w:hint="eastAsia" w:ascii="仿宋" w:hAnsi="仿宋" w:eastAsia="仿宋" w:cs="仿宋"/>
          <w:color w:val="auto"/>
          <w:spacing w:val="-2"/>
          <w:sz w:val="32"/>
          <w:szCs w:val="32"/>
        </w:rPr>
        <w:t>：《关于预计公司</w:t>
      </w:r>
      <w:r>
        <w:rPr>
          <w:rFonts w:ascii="仿宋" w:hAnsi="仿宋" w:eastAsia="仿宋" w:cs="仿宋"/>
          <w:color w:val="auto"/>
          <w:spacing w:val="-2"/>
          <w:sz w:val="32"/>
          <w:szCs w:val="32"/>
        </w:rPr>
        <w:t>2025</w:t>
      </w:r>
      <w:r>
        <w:rPr>
          <w:rFonts w:hint="eastAsia" w:ascii="仿宋" w:hAnsi="仿宋" w:eastAsia="仿宋" w:cs="仿宋"/>
          <w:color w:val="auto"/>
          <w:spacing w:val="-2"/>
          <w:sz w:val="32"/>
          <w:szCs w:val="32"/>
        </w:rPr>
        <w:t>年度日常关联交易的议案》。</w:t>
      </w:r>
    </w:p>
    <w:p w14:paraId="78459E05">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（四）其他履职事项</w:t>
      </w:r>
    </w:p>
    <w:p w14:paraId="21CC1862">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1、在公司现场及与公司沟通情况</w:t>
      </w:r>
    </w:p>
    <w:p w14:paraId="2DD0371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一是收集熟悉公司的背景资料及相关的财务报表信息，在公司工作人员的带领下参观了长寿区内几个厂区和子公司云南变压器电气股份有限公司（以下简称“云变电气”）的车间现场，并向公司相关事业部了解了公司主要产品相关的专业知识，对公司所在的行业与产品有进一步的了解。</w:t>
      </w:r>
    </w:p>
    <w:p w14:paraId="27DEAF92">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二是主动向证券部同事取得了公司内部控制相关的全套制度，并在日常进行了系统学习、了解。此外，还对公司证券事务代表及董事会秘书转发的有关政策文件与监管案例进行了认真学习。</w:t>
      </w:r>
    </w:p>
    <w:p w14:paraId="7F0BAA45">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三是2</w:t>
      </w:r>
      <w:r>
        <w:rPr>
          <w:rFonts w:ascii="仿宋" w:hAnsi="仿宋" w:eastAsia="仿宋" w:cs="仿宋"/>
          <w:color w:val="auto"/>
          <w:spacing w:val="-2"/>
          <w:sz w:val="32"/>
          <w:szCs w:val="32"/>
        </w:rPr>
        <w:t>024</w:t>
      </w:r>
      <w:r>
        <w:rPr>
          <w:rFonts w:hint="eastAsia" w:ascii="仿宋" w:hAnsi="仿宋" w:eastAsia="仿宋" w:cs="仿宋"/>
          <w:color w:val="auto"/>
          <w:spacing w:val="-2"/>
          <w:sz w:val="32"/>
          <w:szCs w:val="32"/>
        </w:rPr>
        <w:t>年4月在公司技术中心做了《关于低温HiB钢发展历史》的专题讲座。</w:t>
      </w:r>
    </w:p>
    <w:p w14:paraId="250246B0">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四是</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w:t>
      </w:r>
      <w:r>
        <w:rPr>
          <w:rFonts w:ascii="仿宋" w:hAnsi="仿宋" w:eastAsia="仿宋" w:cs="仿宋"/>
          <w:color w:val="auto"/>
          <w:spacing w:val="-2"/>
          <w:sz w:val="32"/>
          <w:szCs w:val="32"/>
        </w:rPr>
        <w:t>7</w:t>
      </w:r>
      <w:r>
        <w:rPr>
          <w:rFonts w:hint="eastAsia" w:ascii="仿宋" w:hAnsi="仿宋" w:eastAsia="仿宋" w:cs="仿宋"/>
          <w:color w:val="auto"/>
          <w:spacing w:val="-2"/>
          <w:sz w:val="32"/>
          <w:szCs w:val="32"/>
        </w:rPr>
        <w:t>月参加公司</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年上半年部门述职会，听取子公司黔南望江变压器有限公司（以下简称“黔南望江”）和云变电气上半年生产经营汇报；到</w:t>
      </w:r>
      <w:r>
        <w:rPr>
          <w:rFonts w:hint="eastAsia" w:ascii="仿宋" w:hAnsi="仿宋" w:eastAsia="仿宋" w:cs="仿宋"/>
          <w:color w:val="auto"/>
          <w:spacing w:val="-2"/>
          <w:sz w:val="32"/>
          <w:szCs w:val="32"/>
          <w:lang w:val="en-US" w:eastAsia="zh-CN"/>
        </w:rPr>
        <w:t>某钢</w:t>
      </w:r>
      <w:r>
        <w:rPr>
          <w:rFonts w:hint="eastAsia" w:ascii="仿宋" w:hAnsi="仿宋" w:eastAsia="仿宋" w:cs="仿宋"/>
          <w:color w:val="auto"/>
          <w:spacing w:val="-2"/>
          <w:sz w:val="32"/>
          <w:szCs w:val="32"/>
        </w:rPr>
        <w:t>转炉冶炼厂，现场调研</w:t>
      </w:r>
      <w:r>
        <w:rPr>
          <w:rFonts w:ascii="仿宋" w:hAnsi="仿宋" w:eastAsia="仿宋" w:cs="仿宋"/>
          <w:color w:val="auto"/>
          <w:spacing w:val="-2"/>
          <w:sz w:val="32"/>
          <w:szCs w:val="32"/>
        </w:rPr>
        <w:t>HiB</w:t>
      </w:r>
      <w:r>
        <w:rPr>
          <w:rFonts w:hint="eastAsia" w:ascii="仿宋" w:hAnsi="仿宋" w:eastAsia="仿宋" w:cs="仿宋"/>
          <w:color w:val="auto"/>
          <w:spacing w:val="-2"/>
          <w:sz w:val="32"/>
          <w:szCs w:val="32"/>
        </w:rPr>
        <w:t>钢试生产情况；听取新材料事业部上半年生产经营情况汇报；赴云变电气，与云变电气董事长交流、了解情况并到生产车间调研。</w:t>
      </w:r>
    </w:p>
    <w:p w14:paraId="635E8ED3">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四是</w:t>
      </w:r>
      <w:r>
        <w:rPr>
          <w:rFonts w:ascii="仿宋" w:hAnsi="仿宋" w:eastAsia="仿宋" w:cs="仿宋"/>
          <w:color w:val="auto"/>
          <w:spacing w:val="-2"/>
          <w:sz w:val="32"/>
          <w:szCs w:val="32"/>
        </w:rPr>
        <w:t>202</w:t>
      </w:r>
      <w:bookmarkStart w:id="0" w:name="_GoBack"/>
      <w:r>
        <w:rPr>
          <w:rFonts w:ascii="仿宋" w:hAnsi="仿宋" w:eastAsia="仿宋" w:cs="仿宋"/>
          <w:color w:val="auto"/>
          <w:spacing w:val="-2"/>
          <w:sz w:val="32"/>
          <w:szCs w:val="32"/>
          <w:highlight w:val="none"/>
        </w:rPr>
        <w:t>4</w:t>
      </w:r>
      <w:r>
        <w:rPr>
          <w:rFonts w:hint="eastAsia" w:ascii="仿宋" w:hAnsi="仿宋" w:eastAsia="仿宋" w:cs="仿宋"/>
          <w:color w:val="auto"/>
          <w:spacing w:val="-2"/>
          <w:sz w:val="32"/>
          <w:szCs w:val="32"/>
          <w:highlight w:val="none"/>
        </w:rPr>
        <w:t>年</w:t>
      </w:r>
      <w:r>
        <w:rPr>
          <w:rFonts w:ascii="仿宋" w:hAnsi="仿宋" w:eastAsia="仿宋" w:cs="仿宋"/>
          <w:color w:val="auto"/>
          <w:spacing w:val="-2"/>
          <w:sz w:val="32"/>
          <w:szCs w:val="32"/>
          <w:highlight w:val="none"/>
        </w:rPr>
        <w:t>8</w:t>
      </w:r>
      <w:r>
        <w:rPr>
          <w:rFonts w:hint="eastAsia" w:ascii="仿宋" w:hAnsi="仿宋" w:eastAsia="仿宋" w:cs="仿宋"/>
          <w:color w:val="auto"/>
          <w:spacing w:val="-2"/>
          <w:sz w:val="32"/>
          <w:szCs w:val="32"/>
          <w:highlight w:val="none"/>
        </w:rPr>
        <w:t>月在</w:t>
      </w:r>
      <w:r>
        <w:rPr>
          <w:rFonts w:hint="eastAsia" w:ascii="仿宋" w:hAnsi="仿宋" w:eastAsia="仿宋" w:cs="仿宋"/>
          <w:color w:val="auto"/>
          <w:spacing w:val="-2"/>
          <w:sz w:val="32"/>
          <w:szCs w:val="32"/>
          <w:highlight w:val="none"/>
          <w:lang w:val="en-US" w:eastAsia="zh-CN"/>
        </w:rPr>
        <w:t>某钢厂</w:t>
      </w:r>
      <w:r>
        <w:rPr>
          <w:rFonts w:hint="eastAsia" w:ascii="仿宋" w:hAnsi="仿宋" w:eastAsia="仿宋" w:cs="仿宋"/>
          <w:color w:val="auto"/>
          <w:spacing w:val="-2"/>
          <w:sz w:val="32"/>
          <w:szCs w:val="32"/>
          <w:highlight w:val="none"/>
        </w:rPr>
        <w:t>首次</w:t>
      </w:r>
      <w:bookmarkEnd w:id="0"/>
      <w:r>
        <w:rPr>
          <w:rFonts w:hint="eastAsia" w:ascii="仿宋" w:hAnsi="仿宋" w:eastAsia="仿宋" w:cs="仿宋"/>
          <w:color w:val="auto"/>
          <w:spacing w:val="-2"/>
          <w:sz w:val="32"/>
          <w:szCs w:val="32"/>
        </w:rPr>
        <w:t>生产低温</w:t>
      </w:r>
      <w:r>
        <w:rPr>
          <w:rFonts w:ascii="仿宋" w:hAnsi="仿宋" w:eastAsia="仿宋" w:cs="仿宋"/>
          <w:color w:val="auto"/>
          <w:spacing w:val="-2"/>
          <w:sz w:val="32"/>
          <w:szCs w:val="32"/>
        </w:rPr>
        <w:t>HiB</w:t>
      </w:r>
      <w:r>
        <w:rPr>
          <w:rFonts w:hint="eastAsia" w:ascii="仿宋" w:hAnsi="仿宋" w:eastAsia="仿宋" w:cs="仿宋"/>
          <w:color w:val="auto"/>
          <w:spacing w:val="-2"/>
          <w:sz w:val="32"/>
          <w:szCs w:val="32"/>
        </w:rPr>
        <w:t>钢热轧卷技术总结会；和技术中心研究所相关人员总结前一段用</w:t>
      </w:r>
      <w:r>
        <w:rPr>
          <w:rFonts w:hint="eastAsia" w:ascii="仿宋" w:hAnsi="仿宋" w:eastAsia="仿宋" w:cs="仿宋"/>
          <w:color w:val="auto"/>
          <w:spacing w:val="-2"/>
          <w:sz w:val="32"/>
          <w:szCs w:val="32"/>
          <w:lang w:val="en-US" w:eastAsia="zh-CN"/>
        </w:rPr>
        <w:t>某钢厂</w:t>
      </w:r>
      <w:r>
        <w:rPr>
          <w:rFonts w:hint="eastAsia" w:ascii="仿宋" w:hAnsi="仿宋" w:eastAsia="仿宋" w:cs="仿宋"/>
          <w:color w:val="auto"/>
          <w:spacing w:val="-2"/>
          <w:sz w:val="32"/>
          <w:szCs w:val="32"/>
        </w:rPr>
        <w:t>料试生产</w:t>
      </w:r>
      <w:r>
        <w:rPr>
          <w:rFonts w:ascii="仿宋" w:hAnsi="仿宋" w:eastAsia="仿宋" w:cs="仿宋"/>
          <w:color w:val="auto"/>
          <w:spacing w:val="-2"/>
          <w:sz w:val="32"/>
          <w:szCs w:val="32"/>
        </w:rPr>
        <w:t>0.23mm HiB</w:t>
      </w:r>
      <w:r>
        <w:rPr>
          <w:rFonts w:hint="eastAsia" w:ascii="仿宋" w:hAnsi="仿宋" w:eastAsia="仿宋" w:cs="仿宋"/>
          <w:color w:val="auto"/>
          <w:spacing w:val="-2"/>
          <w:sz w:val="32"/>
          <w:szCs w:val="32"/>
        </w:rPr>
        <w:t>钢和用</w:t>
      </w:r>
      <w:r>
        <w:rPr>
          <w:rFonts w:hint="eastAsia" w:ascii="仿宋" w:hAnsi="仿宋" w:eastAsia="仿宋" w:cs="仿宋"/>
          <w:color w:val="auto"/>
          <w:spacing w:val="-2"/>
          <w:sz w:val="32"/>
          <w:szCs w:val="32"/>
          <w:lang w:val="en-US" w:eastAsia="zh-CN"/>
        </w:rPr>
        <w:t>其他供应商</w:t>
      </w:r>
      <w:r>
        <w:rPr>
          <w:rFonts w:hint="eastAsia" w:ascii="仿宋" w:hAnsi="仿宋" w:eastAsia="仿宋" w:cs="仿宋"/>
          <w:color w:val="auto"/>
          <w:spacing w:val="-2"/>
          <w:sz w:val="32"/>
          <w:szCs w:val="32"/>
        </w:rPr>
        <w:t>试生产</w:t>
      </w:r>
      <w:r>
        <w:rPr>
          <w:rFonts w:ascii="仿宋" w:hAnsi="仿宋" w:eastAsia="仿宋" w:cs="仿宋"/>
          <w:color w:val="auto"/>
          <w:spacing w:val="-2"/>
          <w:sz w:val="32"/>
          <w:szCs w:val="32"/>
        </w:rPr>
        <w:t>0.20mm HiB</w:t>
      </w:r>
      <w:r>
        <w:rPr>
          <w:rFonts w:hint="eastAsia" w:ascii="仿宋" w:hAnsi="仿宋" w:eastAsia="仿宋" w:cs="仿宋"/>
          <w:color w:val="auto"/>
          <w:spacing w:val="-2"/>
          <w:sz w:val="32"/>
          <w:szCs w:val="32"/>
        </w:rPr>
        <w:t>钢的情况。</w:t>
      </w:r>
    </w:p>
    <w:p w14:paraId="62378819">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五是与公司技术中心研究所及新材料事业部相关技术负责人就取向硅钢工艺改进方案进行了多次沟通、讨论，提出了一些改进意见。</w:t>
      </w:r>
    </w:p>
    <w:p w14:paraId="3D9A1A0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2、与内部审计机构及会计师事务所的沟通情况</w:t>
      </w:r>
    </w:p>
    <w:p w14:paraId="5BE57587">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报告期内，本人与公司内部审计机构、年审会计师事务所积极沟通，与会计师事务所就年审计划、审计重点等事项进行了探讨和交流，共同推动审计工作的全面、高效开展。</w:t>
      </w:r>
    </w:p>
    <w:p w14:paraId="0CDAA6F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本人通过行业公开信息关注了负责公司年审的天健会计师事务所，并及时与公司证券事务代表进行了沟通。在了解到负责公司年审的团队人员时，建议要求负责公司年报审计的天健团队应保持稳定性、独立性与专业胜任能力，并合理安排审计人员与时间，以确保公司年报审计的信息质量与按期披露。</w:t>
      </w:r>
    </w:p>
    <w:p w14:paraId="3B44334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3、与中小股东的沟通情况</w:t>
      </w:r>
    </w:p>
    <w:p w14:paraId="42706464">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报告期内，本人积极关注上证e互动等平台上公司股东的提问，了解公司股东的想法和关注事项；亦注重参与公司投资者管理方面的工作，切实维护全体股东尤其是中小股东的合法利益。</w:t>
      </w:r>
    </w:p>
    <w:p w14:paraId="6CC8273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4、上市公司配合独立董事履职情况</w:t>
      </w:r>
    </w:p>
    <w:p w14:paraId="55966A56">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公司为保证独立董事有效行使职权，为独立董事提供了必要的工作条件。在履职过程中，公司董事会、管理层和相关工作人员积极配合本人工作，及时提供本人开展工作所需信息、资料和协助，沟通与意见传达渠道通畅，本人提出的相关意见均得到了有效传导、及时响应与恰当处理。</w:t>
      </w:r>
    </w:p>
    <w:p w14:paraId="067A45FA">
      <w:pPr>
        <w:spacing w:line="360" w:lineRule="auto"/>
        <w:ind w:firstLine="644" w:firstLineChars="200"/>
        <w:jc w:val="both"/>
        <w:outlineLvl w:val="0"/>
        <w:rPr>
          <w:rFonts w:ascii="仿宋" w:hAnsi="仿宋" w:eastAsia="仿宋" w:cs="仿宋"/>
          <w:color w:val="auto"/>
          <w:sz w:val="32"/>
          <w:szCs w:val="32"/>
        </w:rPr>
      </w:pPr>
      <w:r>
        <w:rPr>
          <w:rFonts w:hint="eastAsia" w:ascii="仿宋" w:hAnsi="仿宋" w:eastAsia="仿宋" w:cs="仿宋"/>
          <w:color w:val="auto"/>
          <w:spacing w:val="1"/>
          <w:sz w:val="32"/>
          <w:szCs w:val="32"/>
          <w14:textOutline w14:w="4356" w14:cap="flat" w14:cmpd="sng" w14:algn="ctr">
            <w14:solidFill>
              <w14:srgbClr w14:val="000000"/>
            </w14:solidFill>
            <w14:prstDash w14:val="solid"/>
            <w14:miter w14:val="0"/>
          </w14:textOutline>
        </w:rPr>
        <w:t>三、202</w:t>
      </w:r>
      <w:r>
        <w:rPr>
          <w:rFonts w:ascii="仿宋" w:hAnsi="仿宋" w:eastAsia="仿宋" w:cs="仿宋"/>
          <w:color w:val="auto"/>
          <w:spacing w:val="1"/>
          <w:sz w:val="32"/>
          <w:szCs w:val="32"/>
          <w14:textOutline w14:w="4356" w14:cap="flat" w14:cmpd="sng" w14:algn="ctr">
            <w14:solidFill>
              <w14:srgbClr w14:val="000000"/>
            </w14:solidFill>
            <w14:prstDash w14:val="solid"/>
            <w14:miter w14:val="0"/>
          </w14:textOutline>
        </w:rPr>
        <w:t>4</w:t>
      </w:r>
      <w:r>
        <w:rPr>
          <w:rFonts w:hint="eastAsia" w:ascii="仿宋" w:hAnsi="仿宋" w:eastAsia="仿宋" w:cs="仿宋"/>
          <w:color w:val="auto"/>
          <w:spacing w:val="1"/>
          <w:sz w:val="32"/>
          <w:szCs w:val="32"/>
          <w14:textOutline w14:w="4356" w14:cap="flat" w14:cmpd="sng" w14:algn="ctr">
            <w14:solidFill>
              <w14:srgbClr w14:val="000000"/>
            </w14:solidFill>
            <w14:prstDash w14:val="solid"/>
            <w14:miter w14:val="0"/>
          </w14:textOutline>
        </w:rPr>
        <w:t>年度履职重点关注事项</w:t>
      </w:r>
    </w:p>
    <w:p w14:paraId="1BDB4E6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（一）应当披露的关联交易</w:t>
      </w:r>
    </w:p>
    <w:p w14:paraId="475BA34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报告期内、本人履职期间，公司未发生应披露而未披露关联交易的情况。</w:t>
      </w:r>
    </w:p>
    <w:p w14:paraId="2194B1AB">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（二）公司及相关方变更或豁免承诺的情况</w:t>
      </w:r>
    </w:p>
    <w:p w14:paraId="6070A7C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报告期内、本人履职期间，不存在公司及相关方变更或者豁免有关承诺的情况，也未出现公司及相关方违反公开承诺的情况。</w:t>
      </w:r>
    </w:p>
    <w:p w14:paraId="5CE1D2D6">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（三）被收购上市公司董事会针对收购所作出的决策及采取的措施情况</w:t>
      </w:r>
    </w:p>
    <w:p w14:paraId="5E624F81">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报告期内、本人履职期间，公司不存在适用此情况的情形。</w:t>
      </w:r>
    </w:p>
    <w:p w14:paraId="7C90FA0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（四）披露财务会计报告及定期报告中的财务信息、内部控制评价报告</w:t>
      </w:r>
    </w:p>
    <w:p w14:paraId="60D5BE0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报告期内、本人履职期间，公司披露了以下定期报告：《202</w:t>
      </w:r>
      <w:r>
        <w:rPr>
          <w:rFonts w:ascii="仿宋" w:hAnsi="仿宋" w:eastAsia="仿宋" w:cs="仿宋"/>
          <w:color w:val="auto"/>
          <w:spacing w:val="-2"/>
          <w:sz w:val="32"/>
          <w:szCs w:val="32"/>
        </w:rPr>
        <w:t>3</w:t>
      </w:r>
      <w:r>
        <w:rPr>
          <w:rFonts w:hint="eastAsia" w:ascii="仿宋" w:hAnsi="仿宋" w:eastAsia="仿宋" w:cs="仿宋"/>
          <w:color w:val="auto"/>
          <w:spacing w:val="-2"/>
          <w:sz w:val="32"/>
          <w:szCs w:val="32"/>
        </w:rPr>
        <w:t>年年度报告》《202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年第一季度报告》《202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年半年度报告》《2</w:t>
      </w:r>
      <w:r>
        <w:rPr>
          <w:rFonts w:ascii="仿宋" w:hAnsi="仿宋" w:eastAsia="仿宋" w:cs="仿宋"/>
          <w:color w:val="auto"/>
          <w:spacing w:val="-2"/>
          <w:sz w:val="32"/>
          <w:szCs w:val="32"/>
        </w:rPr>
        <w:t>024</w:t>
      </w:r>
      <w:r>
        <w:rPr>
          <w:rFonts w:hint="eastAsia" w:ascii="仿宋" w:hAnsi="仿宋" w:eastAsia="仿宋" w:cs="仿宋"/>
          <w:color w:val="auto"/>
          <w:spacing w:val="-2"/>
          <w:sz w:val="32"/>
          <w:szCs w:val="32"/>
        </w:rPr>
        <w:t>年第三季度报告》；且披露了《202</w:t>
      </w:r>
      <w:r>
        <w:rPr>
          <w:rFonts w:ascii="仿宋" w:hAnsi="仿宋" w:eastAsia="仿宋" w:cs="仿宋"/>
          <w:color w:val="auto"/>
          <w:spacing w:val="-2"/>
          <w:sz w:val="32"/>
          <w:szCs w:val="32"/>
        </w:rPr>
        <w:t>3</w:t>
      </w:r>
      <w:r>
        <w:rPr>
          <w:rFonts w:hint="eastAsia" w:ascii="仿宋" w:hAnsi="仿宋" w:eastAsia="仿宋" w:cs="仿宋"/>
          <w:color w:val="auto"/>
          <w:spacing w:val="-2"/>
          <w:sz w:val="32"/>
          <w:szCs w:val="32"/>
        </w:rPr>
        <w:t>年度内部控制自我评价报告》。</w:t>
      </w:r>
    </w:p>
    <w:p w14:paraId="02E815BF">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（五）聘用、解聘承办上市公司审计业务的会计师事务所</w:t>
      </w:r>
    </w:p>
    <w:p w14:paraId="1C96F5E3">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报告期内、本人履职期间，公司报告期内，公司解聘大华会计师事务所，</w:t>
      </w:r>
      <w:r>
        <w:rPr>
          <w:rFonts w:hint="eastAsia" w:ascii="仿宋" w:hAnsi="仿宋" w:eastAsia="仿宋" w:cs="仿宋"/>
          <w:color w:val="auto"/>
          <w:kern w:val="2"/>
          <w:sz w:val="32"/>
          <w:szCs w:val="32"/>
        </w:rPr>
        <w:t>聘任天健会计师事务所为公司2024年度审计机构。</w:t>
      </w:r>
    </w:p>
    <w:p w14:paraId="6663D377">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（六）聘任或者解聘公司财务负责人</w:t>
      </w:r>
    </w:p>
    <w:p w14:paraId="1EB47072">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报告期内、本人履职期间，公司未发生聘任或者解聘公司财务负责人的情况。</w:t>
      </w:r>
    </w:p>
    <w:p w14:paraId="0B4A94B1">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（七）因会计准则变更以外的原因作出会计政策、会计估计变更或者重大会计差错更正</w:t>
      </w:r>
    </w:p>
    <w:p w14:paraId="47370485">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报告期内、本人履职期间，公司不存在因会计准则变更以外的原因作出会计政策、会计估计变更或者重大会计差错更正的情况。</w:t>
      </w:r>
    </w:p>
    <w:p w14:paraId="24B54154">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（八）提名或者任免董事，聘任或者解聘高级管理人员</w:t>
      </w:r>
    </w:p>
    <w:p w14:paraId="5897F347">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报告期内、本人履职期间，公司存在聘任公司高级管理人员的情况。202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月</w:t>
      </w:r>
      <w:r>
        <w:rPr>
          <w:rFonts w:ascii="仿宋" w:hAnsi="仿宋" w:eastAsia="仿宋" w:cs="仿宋"/>
          <w:color w:val="auto"/>
          <w:spacing w:val="-2"/>
          <w:sz w:val="32"/>
          <w:szCs w:val="32"/>
        </w:rPr>
        <w:t>24</w:t>
      </w:r>
      <w:r>
        <w:rPr>
          <w:rFonts w:hint="eastAsia" w:ascii="仿宋" w:hAnsi="仿宋" w:eastAsia="仿宋" w:cs="仿宋"/>
          <w:color w:val="auto"/>
          <w:spacing w:val="-2"/>
          <w:sz w:val="32"/>
          <w:szCs w:val="32"/>
        </w:rPr>
        <w:t>日，公司召开第四届董事会第五次会议，聘任高级管理人员，本人对公司高级管理人员的综合信息与聘任情况进行了重点关注，并审议通过相关聘任议案。</w:t>
      </w:r>
    </w:p>
    <w:p w14:paraId="585CDABC">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（九）董事、高级管理人员的薪酬及股权激励计划有关事项</w:t>
      </w:r>
    </w:p>
    <w:p w14:paraId="7D40465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本人对公司董事、高级管理人员薪酬及薪酬方案情况进行了审核，不存在损害公司及股东利益的情形。</w:t>
      </w:r>
    </w:p>
    <w:p w14:paraId="6D08144B">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报告期内，本人持续关注股权激励计划进展，认真审议了限制性股票等相关议案并发表独立意见，股权激励事项符合《上市公司股权激励管理办法》等法律法规以及公司《</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年限制性股票激励计划（草案）》的规定，程序合法、合规，限制性股票授予顺利实施。</w:t>
      </w:r>
    </w:p>
    <w:p w14:paraId="25D88FD1">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四、履职情况总体评价</w:t>
      </w:r>
    </w:p>
    <w:p w14:paraId="00120E96">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担任公司独立董事以来，本人勤勉、忠实地履行了独立董事的各项职责，充分发挥了决策、监督与咨询作用，有效维护了公司及全体股东的利益。在勤勉义务方面，202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年期间，本人为公司工作的时间约为</w:t>
      </w:r>
      <w:r>
        <w:rPr>
          <w:rFonts w:ascii="仿宋" w:hAnsi="仿宋" w:eastAsia="仿宋" w:cs="仿宋"/>
          <w:color w:val="auto"/>
          <w:spacing w:val="-2"/>
          <w:sz w:val="32"/>
          <w:szCs w:val="32"/>
        </w:rPr>
        <w:t>33</w:t>
      </w:r>
      <w:r>
        <w:rPr>
          <w:rFonts w:hint="eastAsia" w:ascii="仿宋" w:hAnsi="仿宋" w:eastAsia="仿宋" w:cs="仿宋"/>
          <w:color w:val="auto"/>
          <w:spacing w:val="-2"/>
          <w:sz w:val="32"/>
          <w:szCs w:val="32"/>
        </w:rPr>
        <w:t>个工作日（其中现场工作时间为</w:t>
      </w:r>
      <w:r>
        <w:rPr>
          <w:rFonts w:ascii="仿宋" w:hAnsi="仿宋" w:eastAsia="仿宋" w:cs="仿宋"/>
          <w:color w:val="auto"/>
          <w:spacing w:val="-2"/>
          <w:sz w:val="32"/>
          <w:szCs w:val="32"/>
        </w:rPr>
        <w:t>2</w:t>
      </w:r>
      <w:r>
        <w:rPr>
          <w:rFonts w:hint="eastAsia" w:ascii="仿宋" w:hAnsi="仿宋" w:eastAsia="仿宋" w:cs="仿宋"/>
          <w:color w:val="auto"/>
          <w:spacing w:val="-2"/>
          <w:sz w:val="32"/>
          <w:szCs w:val="32"/>
        </w:rPr>
        <w:t>8个工作日），积极履行了各项职责。在忠实义务方面，本人积极维护公司整体利益，不存在履职过程中接受不正当利益、利用在公司地位和职权谋取私利、擅自泄露公司商业秘密、利用关联关系损害公司利益等情形，本职与兼职工作与公司独立董事职务均不存在利益冲突，并已如实告知公司有关情况。在独立性方面，根据《上市公司独立董事管理办法》，本人已开展独立董事独立性自查，本人持续符合独立性要求，并持续独立履职，未受公司及主要股东、实际控制人的影响。</w:t>
      </w:r>
    </w:p>
    <w:p w14:paraId="4FC632CF">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202</w:t>
      </w:r>
      <w:r>
        <w:rPr>
          <w:rFonts w:ascii="仿宋" w:hAnsi="仿宋" w:eastAsia="仿宋" w:cs="仿宋"/>
          <w:color w:val="auto"/>
          <w:spacing w:val="-2"/>
          <w:sz w:val="32"/>
          <w:szCs w:val="32"/>
        </w:rPr>
        <w:t>5</w:t>
      </w:r>
      <w:r>
        <w:rPr>
          <w:rFonts w:hint="eastAsia" w:ascii="仿宋" w:hAnsi="仿宋" w:eastAsia="仿宋" w:cs="仿宋"/>
          <w:color w:val="auto"/>
          <w:spacing w:val="-2"/>
          <w:sz w:val="32"/>
          <w:szCs w:val="32"/>
        </w:rPr>
        <w:t>年，本人将继续本着对全体股东和公司利益高度负责的精神，认真、勤勉、忠实地履行好独立董事的“三项”职责，加强与其他董事、监事及管理层的沟通，提高董事会的决策质量，切实维护公司整体利益和全体股东的合法权益。</w:t>
      </w:r>
    </w:p>
    <w:p w14:paraId="41B95745">
      <w:pPr>
        <w:spacing w:line="360" w:lineRule="auto"/>
        <w:ind w:firstLine="632" w:firstLineChars="200"/>
        <w:jc w:val="both"/>
        <w:rPr>
          <w:rFonts w:ascii="仿宋" w:hAnsi="仿宋" w:eastAsia="仿宋" w:cs="仿宋"/>
          <w:color w:val="auto"/>
          <w:spacing w:val="-2"/>
          <w:sz w:val="32"/>
          <w:szCs w:val="32"/>
        </w:rPr>
      </w:pPr>
    </w:p>
    <w:p w14:paraId="7E55B979">
      <w:pPr>
        <w:spacing w:line="360" w:lineRule="auto"/>
        <w:ind w:firstLine="632" w:firstLineChars="200"/>
        <w:jc w:val="both"/>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特此报告。</w:t>
      </w:r>
    </w:p>
    <w:p w14:paraId="18E56823">
      <w:pPr>
        <w:spacing w:line="360" w:lineRule="auto"/>
        <w:ind w:firstLine="632" w:firstLineChars="200"/>
        <w:jc w:val="right"/>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报告人：赵宇</w:t>
      </w:r>
    </w:p>
    <w:p w14:paraId="5DCFE93D">
      <w:pPr>
        <w:spacing w:line="360" w:lineRule="auto"/>
        <w:ind w:firstLine="632" w:firstLineChars="200"/>
        <w:jc w:val="right"/>
        <w:rPr>
          <w:rFonts w:ascii="仿宋" w:hAnsi="仿宋" w:eastAsia="仿宋" w:cs="仿宋"/>
          <w:color w:val="auto"/>
          <w:sz w:val="32"/>
          <w:szCs w:val="32"/>
        </w:rPr>
      </w:pPr>
      <w:r>
        <w:rPr>
          <w:rFonts w:hint="eastAsia" w:ascii="仿宋" w:hAnsi="仿宋" w:eastAsia="仿宋" w:cs="仿宋"/>
          <w:color w:val="auto"/>
          <w:spacing w:val="-2"/>
          <w:sz w:val="32"/>
          <w:szCs w:val="32"/>
          <w:lang w:val="en-US" w:eastAsia="zh-CN"/>
        </w:rPr>
        <w:t>时间：2025年4月24日</w:t>
      </w:r>
    </w:p>
    <w:p w14:paraId="41E440D5">
      <w:pPr>
        <w:spacing w:line="360" w:lineRule="auto"/>
        <w:ind w:firstLine="632" w:firstLineChars="200"/>
        <w:jc w:val="both"/>
        <w:rPr>
          <w:rFonts w:hint="eastAsia" w:ascii="仿宋" w:hAnsi="仿宋" w:eastAsia="仿宋" w:cs="仿宋"/>
          <w:color w:val="auto"/>
          <w:spacing w:val="-2"/>
          <w:sz w:val="32"/>
          <w:szCs w:val="32"/>
        </w:rPr>
      </w:pPr>
    </w:p>
    <w:sectPr>
      <w:headerReference r:id="rId3" w:type="default"/>
      <w:pgSz w:w="11906" w:h="16838"/>
      <w:pgMar w:top="1440" w:right="1800" w:bottom="1440" w:left="1800" w:header="510"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A1CC">
    <w:pPr>
      <w:pStyle w:val="5"/>
      <w:pBdr>
        <w:bottom w:val="single" w:color="auto" w:sz="4" w:space="1"/>
      </w:pBdr>
    </w:pPr>
    <w:r>
      <w:rPr>
        <w:rFonts w:hint="eastAsia" w:ascii="仿宋" w:hAnsi="仿宋" w:eastAsia="仿宋" w:cs="仿宋"/>
      </w:rPr>
      <w:drawing>
        <wp:inline distT="0" distB="0" distL="114300" distR="114300">
          <wp:extent cx="285750" cy="285750"/>
          <wp:effectExtent l="0" t="0" r="3810" b="3810"/>
          <wp:docPr id="1"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rPr>
      <w:t xml:space="preserve">                                                           第四届董事会第十二次会议资料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30662"/>
    <w:multiLevelType w:val="singleLevel"/>
    <w:tmpl w:val="86C30662"/>
    <w:lvl w:ilvl="0" w:tentative="0">
      <w:start w:val="1"/>
      <w:numFmt w:val="chineseCounting"/>
      <w:suff w:val="nothing"/>
      <w:lvlText w:val="（%1）"/>
      <w:lvlJc w:val="left"/>
      <w:rPr>
        <w:rFonts w:hint="eastAsia"/>
      </w:rPr>
    </w:lvl>
  </w:abstractNum>
  <w:abstractNum w:abstractNumId="1">
    <w:nsid w:val="03FE5756"/>
    <w:multiLevelType w:val="multilevel"/>
    <w:tmpl w:val="03FE5756"/>
    <w:lvl w:ilvl="0" w:tentative="0">
      <w:start w:val="2"/>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3E1B680E"/>
    <w:rsid w:val="00004F7D"/>
    <w:rsid w:val="000761EA"/>
    <w:rsid w:val="000B5743"/>
    <w:rsid w:val="00113370"/>
    <w:rsid w:val="00180A8C"/>
    <w:rsid w:val="00191914"/>
    <w:rsid w:val="00266D01"/>
    <w:rsid w:val="00275C1C"/>
    <w:rsid w:val="0028598D"/>
    <w:rsid w:val="002C5458"/>
    <w:rsid w:val="00302B1E"/>
    <w:rsid w:val="0037236D"/>
    <w:rsid w:val="00410E01"/>
    <w:rsid w:val="00427BCD"/>
    <w:rsid w:val="004766D6"/>
    <w:rsid w:val="00494398"/>
    <w:rsid w:val="0058659D"/>
    <w:rsid w:val="005918C9"/>
    <w:rsid w:val="0071674D"/>
    <w:rsid w:val="00725BCC"/>
    <w:rsid w:val="007E6C55"/>
    <w:rsid w:val="00863917"/>
    <w:rsid w:val="008F239D"/>
    <w:rsid w:val="008F3CE5"/>
    <w:rsid w:val="00916CDA"/>
    <w:rsid w:val="00933AF7"/>
    <w:rsid w:val="00936021"/>
    <w:rsid w:val="00942B05"/>
    <w:rsid w:val="00955A35"/>
    <w:rsid w:val="009D40E9"/>
    <w:rsid w:val="009E0F52"/>
    <w:rsid w:val="009F7942"/>
    <w:rsid w:val="00A466DB"/>
    <w:rsid w:val="00A72334"/>
    <w:rsid w:val="00A85246"/>
    <w:rsid w:val="00A866C2"/>
    <w:rsid w:val="00AC77BB"/>
    <w:rsid w:val="00B20EA7"/>
    <w:rsid w:val="00B32A64"/>
    <w:rsid w:val="00B7509B"/>
    <w:rsid w:val="00BC707A"/>
    <w:rsid w:val="00C01EFE"/>
    <w:rsid w:val="00C309C7"/>
    <w:rsid w:val="00C94B0B"/>
    <w:rsid w:val="00CB3EB6"/>
    <w:rsid w:val="00CC221B"/>
    <w:rsid w:val="00CC23A7"/>
    <w:rsid w:val="00D442F5"/>
    <w:rsid w:val="00D95A04"/>
    <w:rsid w:val="00DE619D"/>
    <w:rsid w:val="00E01BB0"/>
    <w:rsid w:val="00E327C0"/>
    <w:rsid w:val="00E355E0"/>
    <w:rsid w:val="00E47D65"/>
    <w:rsid w:val="00ED4BDC"/>
    <w:rsid w:val="00F2138D"/>
    <w:rsid w:val="00F33CF2"/>
    <w:rsid w:val="08CE1018"/>
    <w:rsid w:val="0CC62EF7"/>
    <w:rsid w:val="146A394C"/>
    <w:rsid w:val="15AF5207"/>
    <w:rsid w:val="15D94A0B"/>
    <w:rsid w:val="197A7E75"/>
    <w:rsid w:val="1F53241A"/>
    <w:rsid w:val="252E6C04"/>
    <w:rsid w:val="2970666F"/>
    <w:rsid w:val="2C5B6643"/>
    <w:rsid w:val="2DA64A66"/>
    <w:rsid w:val="30406FD1"/>
    <w:rsid w:val="3E1B680E"/>
    <w:rsid w:val="517B21F2"/>
    <w:rsid w:val="57376AD1"/>
    <w:rsid w:val="57CD248A"/>
    <w:rsid w:val="591D5CF0"/>
    <w:rsid w:val="62791D4B"/>
    <w:rsid w:val="65766A14"/>
    <w:rsid w:val="6FE91AC9"/>
    <w:rsid w:val="745B5BCA"/>
    <w:rsid w:val="79D3571B"/>
    <w:rsid w:val="7C5B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alloon Text"/>
    <w:basedOn w:val="1"/>
    <w:link w:val="14"/>
    <w:qFormat/>
    <w:uiPriority w:val="0"/>
    <w:rPr>
      <w:sz w:val="18"/>
      <w:szCs w:val="18"/>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annotation reference"/>
    <w:basedOn w:val="8"/>
    <w:autoRedefine/>
    <w:qFormat/>
    <w:uiPriority w:val="0"/>
    <w:rPr>
      <w:sz w:val="21"/>
      <w:szCs w:val="21"/>
    </w:rPr>
  </w:style>
  <w:style w:type="paragraph" w:customStyle="1" w:styleId="10">
    <w:name w:val="K&amp;W Body text"/>
    <w:basedOn w:val="1"/>
    <w:autoRedefine/>
    <w:qFormat/>
    <w:uiPriority w:val="0"/>
    <w:pPr>
      <w:spacing w:after="280" w:line="240" w:lineRule="atLeast"/>
      <w:jc w:val="both"/>
    </w:pPr>
    <w:rPr>
      <w:color w:val="auto"/>
    </w:r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List Paragraph"/>
    <w:basedOn w:val="1"/>
    <w:autoRedefine/>
    <w:unhideWhenUsed/>
    <w:qFormat/>
    <w:uiPriority w:val="99"/>
    <w:pPr>
      <w:ind w:firstLine="420" w:firstLineChars="200"/>
    </w:pPr>
  </w:style>
  <w:style w:type="paragraph" w:customStyle="1" w:styleId="13">
    <w:name w:val="Revision"/>
    <w:hidden/>
    <w:unhideWhenUsed/>
    <w:qFormat/>
    <w:uiPriority w:val="99"/>
    <w:rPr>
      <w:rFonts w:ascii="Arial" w:hAnsi="Arial" w:eastAsia="Arial" w:cs="Arial"/>
      <w:snapToGrid w:val="0"/>
      <w:color w:val="000000"/>
      <w:sz w:val="21"/>
      <w:szCs w:val="21"/>
      <w:lang w:val="en-US" w:eastAsia="zh-CN" w:bidi="ar-SA"/>
    </w:rPr>
  </w:style>
  <w:style w:type="character" w:customStyle="1" w:styleId="14">
    <w:name w:val="批注框文本 字符"/>
    <w:basedOn w:val="8"/>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9</Pages>
  <Words>3718</Words>
  <Characters>3855</Characters>
  <Lines>27</Lines>
  <Paragraphs>7</Paragraphs>
  <TotalTime>0</TotalTime>
  <ScaleCrop>false</ScaleCrop>
  <LinksUpToDate>false</LinksUpToDate>
  <CharactersWithSpaces>3857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2024-04-07T03:12:00Z</dcterms:created>
  <dc:creator>Y.    Miss</dc:creator>
  <cp:lastModifiedBy>雯亦</cp:lastModifiedBy>
  <cp:lastPrinted>2024-04-25T06:44:00Z</cp:lastPrinted>
  <dcterms:modified xsi:type="dcterms:W3CDTF">2025-04-25T07:26:11Z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7EA4374F559F4679835652D31114E84C_13</vt:lpwstr>
  </property>
  <property fmtid="{D5CDD505-2E9C-101B-9397-08002B2CF9AE}" pid="4" name="KSOTemplateDocerSaveRecord">
    <vt:lpwstr>eyJoZGlkIjoiZTQzZmRmZDMxMjkwMDE2NTk0ZWQ1ZWYwMzRmYjVhNmUiLCJ1c2VySWQiOiI2NDQwNzQxNTQifQ==</vt:lpwstr>
  </property>
</Properties>
</file>