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89F4B">
      <w:pPr>
        <w:adjustRightInd w:val="0"/>
        <w:snapToGrid w:val="0"/>
        <w:spacing w:line="560" w:lineRule="exact"/>
        <w:jc w:val="left"/>
        <w:rPr>
          <w:rFonts w:hint="eastAsia" w:ascii="仿宋" w:hAnsi="仿宋" w:eastAsia="仿宋_GB2312"/>
          <w:sz w:val="30"/>
          <w:szCs w:val="30"/>
        </w:rPr>
      </w:pPr>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公告编号：2</w:t>
      </w:r>
      <w:r>
        <w:rPr>
          <w:rFonts w:ascii="宋体" w:hAnsi="宋体"/>
          <w:b/>
          <w:sz w:val="24"/>
          <w:szCs w:val="24"/>
        </w:rPr>
        <w:t>02</w:t>
      </w:r>
      <w:r>
        <w:rPr>
          <w:rFonts w:hint="eastAsia" w:ascii="宋体" w:hAnsi="宋体"/>
          <w:b/>
          <w:sz w:val="24"/>
          <w:szCs w:val="24"/>
        </w:rPr>
        <w:t>5</w:t>
      </w:r>
      <w:r>
        <w:rPr>
          <w:rFonts w:ascii="宋体" w:hAnsi="宋体"/>
          <w:b/>
          <w:sz w:val="24"/>
          <w:szCs w:val="24"/>
        </w:rPr>
        <w:t>-0</w:t>
      </w:r>
      <w:r>
        <w:rPr>
          <w:rFonts w:hint="eastAsia" w:ascii="宋体" w:hAnsi="宋体" w:eastAsia="仿宋_GB2312"/>
          <w:b/>
          <w:sz w:val="24"/>
          <w:szCs w:val="24"/>
        </w:rPr>
        <w:t>16</w:t>
      </w:r>
    </w:p>
    <w:p w14:paraId="5A90EB51">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27A0E369">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关于2025年3月</w:t>
      </w:r>
      <w:r>
        <w:rPr>
          <w:rFonts w:ascii="宋体" w:hAnsi="宋体" w:cs="仿宋_GB2312"/>
          <w:b/>
          <w:bCs/>
          <w:color w:val="FF0000"/>
          <w:sz w:val="36"/>
          <w:szCs w:val="36"/>
        </w:rPr>
        <w:t>对外</w:t>
      </w:r>
      <w:r>
        <w:rPr>
          <w:rFonts w:hint="eastAsia" w:ascii="宋体" w:hAnsi="宋体" w:cs="仿宋_GB2312"/>
          <w:b/>
          <w:bCs/>
          <w:color w:val="FF0000"/>
          <w:sz w:val="36"/>
          <w:szCs w:val="36"/>
        </w:rPr>
        <w:t>担保的进展公告</w:t>
      </w:r>
    </w:p>
    <w:p w14:paraId="10CE4F52">
      <w:pPr>
        <w:adjustRightInd w:val="0"/>
        <w:snapToGrid w:val="0"/>
        <w:spacing w:before="159" w:beforeLines="50" w:line="560" w:lineRule="exact"/>
        <w:jc w:val="center"/>
        <w:rPr>
          <w:rFonts w:hint="eastAsia" w:ascii="仿宋_GB2312" w:hAnsi="仿宋_GB2312" w:eastAsia="仿宋_GB2312" w:cs="仿宋_GB2312"/>
          <w:b/>
          <w:bCs/>
          <w:sz w:val="30"/>
          <w:szCs w:val="30"/>
        </w:rPr>
      </w:pPr>
    </w:p>
    <w:p w14:paraId="48EFC4E2">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sz w:val="24"/>
          <w:szCs w:val="24"/>
        </w:rPr>
      </w:pPr>
      <w:r>
        <w:rPr>
          <w:rFonts w:hint="eastAsia" w:ascii="仿宋" w:hAnsi="仿宋" w:eastAsia="仿宋"/>
          <w:sz w:val="24"/>
          <w:szCs w:val="24"/>
        </w:rPr>
        <w:t>本公司董事会及全体董事保证本公告内容不存在任何虚假记载、误导性陈述或者重大遗漏，并对其内容的真实性、准确性和完整性承担法律责任</w:t>
      </w:r>
      <w:r>
        <w:rPr>
          <w:rFonts w:hint="eastAsia" w:ascii="宋体" w:hAnsi="宋体"/>
          <w:sz w:val="24"/>
          <w:szCs w:val="24"/>
        </w:rPr>
        <w:t>。</w:t>
      </w:r>
    </w:p>
    <w:p w14:paraId="642CEA82">
      <w:pPr>
        <w:adjustRightInd w:val="0"/>
        <w:snapToGrid w:val="0"/>
        <w:spacing w:line="560" w:lineRule="exact"/>
        <w:rPr>
          <w:rFonts w:hint="eastAsia" w:ascii="宋体" w:hAnsi="宋体" w:cs="宋体"/>
          <w:sz w:val="24"/>
          <w:szCs w:val="24"/>
        </w:rPr>
      </w:pPr>
    </w:p>
    <w:p w14:paraId="3DD71F21">
      <w:pPr>
        <w:adjustRightInd w:val="0"/>
        <w:snapToGrid w:val="0"/>
        <w:spacing w:line="560" w:lineRule="exact"/>
        <w:rPr>
          <w:rFonts w:hint="eastAsia" w:ascii="宋体" w:hAnsi="宋体" w:cs="宋体"/>
          <w:b/>
          <w:sz w:val="24"/>
          <w:szCs w:val="24"/>
        </w:rPr>
      </w:pPr>
      <w:r>
        <w:rPr>
          <w:rFonts w:hint="eastAsia" w:ascii="宋体" w:hAnsi="宋体" w:cs="宋体"/>
          <w:b/>
          <w:sz w:val="24"/>
          <w:szCs w:val="24"/>
        </w:rPr>
        <w:t>重要内容提示：</w:t>
      </w:r>
    </w:p>
    <w:p w14:paraId="50C6BE38">
      <w:pPr>
        <w:pStyle w:val="94"/>
        <w:numPr>
          <w:ilvl w:val="0"/>
          <w:numId w:val="12"/>
        </w:numPr>
        <w:rPr>
          <w:rFonts w:hint="eastAsia" w:ascii="宋体" w:hAnsi="宋体" w:cs="宋体"/>
          <w:b/>
          <w:sz w:val="24"/>
          <w:szCs w:val="24"/>
        </w:rPr>
      </w:pPr>
      <w:r>
        <w:rPr>
          <w:rFonts w:hint="eastAsia" w:ascii="宋体" w:hAnsi="宋体" w:cs="宋体"/>
          <w:sz w:val="24"/>
          <w:szCs w:val="24"/>
        </w:rPr>
        <w:t>被担保人：控股子公司云南变压器电气股份有限公司（以下简称“云变电气”）、全资子公司黔南望江变压器有限公司（以下简称“黔南望江”）</w:t>
      </w:r>
    </w:p>
    <w:p w14:paraId="4611552F">
      <w:pPr>
        <w:pStyle w:val="94"/>
        <w:numPr>
          <w:ilvl w:val="0"/>
          <w:numId w:val="12"/>
        </w:numPr>
        <w:rPr>
          <w:rFonts w:hint="eastAsia" w:ascii="宋体" w:hAnsi="宋体" w:cs="宋体"/>
          <w:sz w:val="24"/>
          <w:szCs w:val="24"/>
        </w:rPr>
      </w:pPr>
      <w:r>
        <w:rPr>
          <w:rFonts w:hint="eastAsia" w:ascii="宋体" w:hAnsi="宋体" w:cs="宋体"/>
          <w:sz w:val="24"/>
          <w:szCs w:val="24"/>
        </w:rPr>
        <w:t>担保金额及已实际提供的担保余额：2025年3月1日-3月31日期间，重庆望变电气（集团）股份有限公司（以下简称“公司”或“望变电气”）及下属子公司新增对外担保21,000万元；截止2025年3月末，公司对外担保余额为41,701.15 万元，均为对子公司提供的担保；</w:t>
      </w:r>
    </w:p>
    <w:p w14:paraId="3D8BEAA5">
      <w:pPr>
        <w:pStyle w:val="94"/>
        <w:rPr>
          <w:rFonts w:hint="eastAsia" w:ascii="宋体" w:hAnsi="宋体" w:cs="宋体"/>
          <w:sz w:val="24"/>
          <w:szCs w:val="24"/>
        </w:rPr>
      </w:pPr>
      <w:r>
        <w:rPr>
          <w:rFonts w:hint="eastAsia" w:ascii="宋体" w:hAnsi="宋体" w:cs="宋体"/>
          <w:sz w:val="24"/>
          <w:szCs w:val="24"/>
        </w:rPr>
        <w:t>是否有反担保：无</w:t>
      </w:r>
    </w:p>
    <w:p w14:paraId="78CF50A9">
      <w:pPr>
        <w:pStyle w:val="94"/>
        <w:rPr>
          <w:rFonts w:hint="eastAsia" w:ascii="宋体" w:hAnsi="宋体" w:cs="宋体"/>
          <w:sz w:val="24"/>
          <w:szCs w:val="24"/>
        </w:rPr>
      </w:pPr>
      <w:r>
        <w:rPr>
          <w:rFonts w:hint="eastAsia" w:ascii="宋体" w:hAnsi="宋体" w:cs="宋体"/>
          <w:sz w:val="24"/>
          <w:szCs w:val="24"/>
        </w:rPr>
        <w:t>公司有无逾期对外担保的情况：无</w:t>
      </w:r>
    </w:p>
    <w:p w14:paraId="52349442">
      <w:pPr>
        <w:pStyle w:val="94"/>
        <w:rPr>
          <w:rFonts w:hint="eastAsia" w:ascii="宋体" w:hAnsi="宋体" w:cs="宋体"/>
          <w:sz w:val="24"/>
          <w:szCs w:val="24"/>
        </w:rPr>
      </w:pPr>
      <w:r>
        <w:rPr>
          <w:rFonts w:hint="eastAsia" w:ascii="宋体" w:hAnsi="宋体" w:cs="宋体"/>
          <w:spacing w:val="-1"/>
          <w:sz w:val="24"/>
          <w:szCs w:val="24"/>
        </w:rPr>
        <w:t>特别风险提示：截至2025年3月31日，公司对外担保总额为人民币67,500万元，担保余额为</w:t>
      </w:r>
      <w:r>
        <w:rPr>
          <w:rFonts w:hint="eastAsia" w:ascii="宋体" w:hAnsi="宋体" w:cs="宋体"/>
          <w:sz w:val="24"/>
          <w:szCs w:val="24"/>
        </w:rPr>
        <w:t xml:space="preserve">41,701.15 </w:t>
      </w:r>
      <w:r>
        <w:rPr>
          <w:rFonts w:hint="eastAsia" w:ascii="宋体" w:hAnsi="宋体" w:cs="宋体"/>
          <w:spacing w:val="-1"/>
          <w:sz w:val="24"/>
          <w:szCs w:val="24"/>
        </w:rPr>
        <w:t>万元，占公司最近一期经审计净资产的17.44%；对</w:t>
      </w:r>
      <w:r>
        <w:rPr>
          <w:rFonts w:hint="eastAsia" w:ascii="宋体" w:hAnsi="宋体" w:cs="宋体"/>
          <w:spacing w:val="-2"/>
          <w:sz w:val="24"/>
          <w:szCs w:val="24"/>
        </w:rPr>
        <w:t>资产负债率超过70.00%的单位提供担保的金额为人民币13,000.00万元，担保余额为 3,731.67 万元，占公司最近一期经审计净资产的1.56%；</w:t>
      </w:r>
      <w:r>
        <w:rPr>
          <w:rFonts w:hint="eastAsia" w:ascii="宋体" w:hAnsi="宋体" w:cs="宋体"/>
          <w:spacing w:val="-1"/>
          <w:sz w:val="24"/>
          <w:szCs w:val="24"/>
        </w:rPr>
        <w:t>敬请投资者充分关</w:t>
      </w:r>
      <w:r>
        <w:rPr>
          <w:rFonts w:hint="eastAsia" w:ascii="宋体" w:hAnsi="宋体" w:cs="宋体"/>
          <w:spacing w:val="-5"/>
          <w:sz w:val="24"/>
          <w:szCs w:val="24"/>
        </w:rPr>
        <w:t>注担保风险。</w:t>
      </w:r>
    </w:p>
    <w:p w14:paraId="6DFE09CA">
      <w:pPr>
        <w:numPr>
          <w:ilvl w:val="0"/>
          <w:numId w:val="13"/>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担保情况概述</w:t>
      </w:r>
    </w:p>
    <w:p w14:paraId="00101A03">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（一）</w:t>
      </w:r>
      <w:r>
        <w:rPr>
          <w:rFonts w:ascii="宋体" w:hAnsi="宋体" w:cs="宋体"/>
          <w:kern w:val="0"/>
          <w:sz w:val="24"/>
          <w:szCs w:val="24"/>
        </w:rPr>
        <w:t>公司对外担保总额及内部决策程序履行</w:t>
      </w:r>
      <w:r>
        <w:rPr>
          <w:rFonts w:hint="eastAsia" w:ascii="宋体" w:hAnsi="宋体" w:cs="宋体"/>
          <w:kern w:val="0"/>
          <w:sz w:val="24"/>
          <w:szCs w:val="24"/>
        </w:rPr>
        <w:t>情况</w:t>
      </w:r>
    </w:p>
    <w:p w14:paraId="07CBA296">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公司于2024年11月26日召开第四届董事会第九次会议审议通过《关于2025年度向银行等金融机构申请综合授信额度及为子公司提供融资担保额度的议案》，同意2025年度为子公司重庆惠泽电器有限公司（以下简称“惠泽电器”）向银行等金融机构申请综合授信或借款提供新增额度不超过1亿元人民币（或等值外币）的担保；同意2025年度为资产负债率超过70%的子公司黔南望江变压器有限公司（以下简称“黔南望江”）向银行等金融机构申请综合授信或借款提供新增额度不超过2亿元人民币（或等值外币）的担保；同意2025年度为子公司云变电气向银行等金融机构申请综合授信或借款提供新增额度不超过12亿元人民币（或等值外币）的担保。上述担保额度有效期自2025年1月1日至2025年12月31日。该担保事项已提交公司2024年第三次临时股东会审议通过。具体情况详见公司在上海证券交易所官网披露的《关于预计2025年度对子公司新增担保额度的公告》（公告编号：2024-075）和《2024年第三次临时股东大会决议公告》（公告编号：2024-082）。</w:t>
      </w:r>
    </w:p>
    <w:p w14:paraId="4501BC21">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（二）本月对外担保进展情况</w:t>
      </w:r>
    </w:p>
    <w:p w14:paraId="6B5658E6">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2025年3月，公司及下属子公司新增对外担保人民币21,000万元。</w:t>
      </w:r>
    </w:p>
    <w:p w14:paraId="444C00C6">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其中公司于2025年3月6日与中国光大银行股份有限公司昆明分行（以下简称“光大银行昆明分行”）签署《保证合同》为控股子公司云变电气同期与光大银行昆明分行签署的《固定资产暨项目融资借款合同》提供不超过人民币2,000万元的连带责任担保；公司于2025年3月6日与昆明市五华区农村信用合作联社黑林铺信用社（以下简称“黑林铺信用社”）签署《保证合同》为控股子公司云变电气同期与黑林铺信用社签署的《流动资金借款合同》提供不超过人民币7,000万元的连带责任担保；公司于2025年3月14日与广发银行股份有限公司昆明和谐世纪支行（以下简称“广发银行昆明支行”）签署《最高额保证合同》为控股子公司云变电气同期与广发银行昆明支行签订的《授信额度合同》提供不超过人民币10,000万元的连带责任担保；公司于2025年3月6日与中国光大银行股份有限公司贵阳分行（以下简称“光大银行贵阳分行”）签署《最高额保证合同》为全资子公司黔南望江同期与光大银行贵阳分行签署的《综合授信协议》提供不超过人民币2,000万元的连带责任担保。</w:t>
      </w:r>
    </w:p>
    <w:p w14:paraId="4A858200">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上述担保无反担保，云变电气其他股东对上述担保未提供对应比例的担保。</w:t>
      </w:r>
    </w:p>
    <w:p w14:paraId="6BBF2DBD">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上述担保事项属于公司2024年第三次临时股东会授权范围并在有效期内，无需再次提交公司董事会、股东会审议。</w:t>
      </w:r>
    </w:p>
    <w:p w14:paraId="52309438">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（三）担保预计的实际发生情况</w:t>
      </w:r>
    </w:p>
    <w:p w14:paraId="3A6BE4F3">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截止2025年3月末，公司对外担保的实际发生情况如下：</w:t>
      </w:r>
    </w:p>
    <w:tbl>
      <w:tblPr>
        <w:tblStyle w:val="104"/>
        <w:tblW w:w="5157"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041"/>
        <w:gridCol w:w="879"/>
        <w:gridCol w:w="1058"/>
        <w:gridCol w:w="1140"/>
        <w:gridCol w:w="1071"/>
        <w:gridCol w:w="1144"/>
        <w:gridCol w:w="658"/>
        <w:gridCol w:w="620"/>
      </w:tblGrid>
      <w:tr w14:paraId="5E253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56" w:type="dxa"/>
            <w:vAlign w:val="center"/>
          </w:tcPr>
          <w:p w14:paraId="1668ACD4">
            <w:pPr>
              <w:pStyle w:val="105"/>
              <w:jc w:val="center"/>
              <w:rPr>
                <w:rFonts w:hint="eastAsia" w:ascii="宋体" w:hAnsi="宋体" w:eastAsia="宋体"/>
                <w:b/>
                <w:bCs/>
                <w:sz w:val="21"/>
                <w:szCs w:val="21"/>
                <w:lang w:eastAsia="zh-CN"/>
              </w:rPr>
            </w:pPr>
            <w:r>
              <w:rPr>
                <w:rFonts w:hint="eastAsia" w:ascii="宋体" w:hAnsi="宋体" w:eastAsia="宋体"/>
                <w:b/>
                <w:bCs/>
                <w:sz w:val="21"/>
                <w:szCs w:val="21"/>
              </w:rPr>
              <w:t>担保</w:t>
            </w:r>
            <w:r>
              <w:rPr>
                <w:rFonts w:hint="eastAsia" w:ascii="宋体" w:hAnsi="宋体" w:eastAsia="宋体"/>
                <w:b/>
                <w:bCs/>
                <w:sz w:val="21"/>
                <w:szCs w:val="21"/>
                <w:lang w:eastAsia="zh-CN"/>
              </w:rPr>
              <w:t>方</w:t>
            </w:r>
          </w:p>
        </w:tc>
        <w:tc>
          <w:tcPr>
            <w:tcW w:w="1040" w:type="dxa"/>
            <w:vAlign w:val="center"/>
          </w:tcPr>
          <w:p w14:paraId="50EA1460">
            <w:pPr>
              <w:pStyle w:val="105"/>
              <w:jc w:val="center"/>
              <w:rPr>
                <w:rFonts w:hint="eastAsia" w:ascii="宋体" w:hAnsi="宋体" w:eastAsia="宋体"/>
                <w:b/>
                <w:bCs/>
                <w:sz w:val="21"/>
                <w:szCs w:val="21"/>
                <w:lang w:eastAsia="zh-CN"/>
              </w:rPr>
            </w:pPr>
            <w:r>
              <w:rPr>
                <w:rFonts w:hint="eastAsia" w:ascii="宋体" w:hAnsi="宋体" w:eastAsia="宋体"/>
                <w:b/>
                <w:bCs/>
                <w:sz w:val="21"/>
                <w:szCs w:val="21"/>
              </w:rPr>
              <w:t>被担保</w:t>
            </w:r>
            <w:r>
              <w:rPr>
                <w:rFonts w:hint="eastAsia" w:ascii="宋体" w:hAnsi="宋体" w:eastAsia="宋体"/>
                <w:b/>
                <w:bCs/>
                <w:sz w:val="21"/>
                <w:szCs w:val="21"/>
                <w:lang w:eastAsia="zh-CN"/>
              </w:rPr>
              <w:t>方</w:t>
            </w:r>
          </w:p>
        </w:tc>
        <w:tc>
          <w:tcPr>
            <w:tcW w:w="879" w:type="dxa"/>
            <w:vAlign w:val="center"/>
          </w:tcPr>
          <w:p w14:paraId="5F76ECB5">
            <w:pPr>
              <w:pStyle w:val="105"/>
              <w:jc w:val="center"/>
              <w:rPr>
                <w:rFonts w:hint="eastAsia" w:ascii="宋体" w:hAnsi="宋体" w:eastAsia="宋体"/>
                <w:b/>
                <w:bCs/>
                <w:sz w:val="21"/>
                <w:szCs w:val="21"/>
              </w:rPr>
            </w:pPr>
            <w:r>
              <w:rPr>
                <w:rFonts w:hint="eastAsia" w:ascii="宋体" w:hAnsi="宋体" w:eastAsia="宋体"/>
                <w:b/>
                <w:bCs/>
                <w:sz w:val="21"/>
                <w:szCs w:val="21"/>
              </w:rPr>
              <w:t>担保方持股比例</w:t>
            </w:r>
          </w:p>
        </w:tc>
        <w:tc>
          <w:tcPr>
            <w:tcW w:w="1057" w:type="dxa"/>
            <w:vAlign w:val="center"/>
          </w:tcPr>
          <w:p w14:paraId="59E1C193">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截止2024.09.30被担保方资产负债率</w:t>
            </w:r>
          </w:p>
        </w:tc>
        <w:tc>
          <w:tcPr>
            <w:tcW w:w="1139" w:type="dxa"/>
            <w:vAlign w:val="center"/>
          </w:tcPr>
          <w:p w14:paraId="61335F89">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2025年预计担保额度</w:t>
            </w:r>
          </w:p>
          <w:p w14:paraId="0B6ABA87">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1070" w:type="dxa"/>
            <w:vAlign w:val="center"/>
          </w:tcPr>
          <w:p w14:paraId="2CDDCB38">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截至2025年3月末累计担保总额</w:t>
            </w:r>
          </w:p>
          <w:p w14:paraId="37383B4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w:t>
            </w:r>
            <w:r>
              <w:rPr>
                <w:rFonts w:hint="eastAsia" w:ascii="宋体" w:hAnsi="宋体" w:eastAsia="宋体"/>
                <w:b/>
                <w:bCs/>
                <w:spacing w:val="-7"/>
                <w:sz w:val="21"/>
                <w:szCs w:val="21"/>
                <w:lang w:eastAsia="zh-CN"/>
              </w:rPr>
              <w:t>元）</w:t>
            </w:r>
          </w:p>
        </w:tc>
        <w:tc>
          <w:tcPr>
            <w:tcW w:w="1143" w:type="dxa"/>
            <w:vAlign w:val="center"/>
          </w:tcPr>
          <w:p w14:paraId="25E4629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截至2025年3月末担保余额</w:t>
            </w:r>
          </w:p>
          <w:p w14:paraId="3DDB86F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658" w:type="dxa"/>
            <w:vAlign w:val="center"/>
          </w:tcPr>
          <w:p w14:paraId="3919B96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是否关联担保</w:t>
            </w:r>
          </w:p>
        </w:tc>
        <w:tc>
          <w:tcPr>
            <w:tcW w:w="619" w:type="dxa"/>
            <w:vAlign w:val="center"/>
          </w:tcPr>
          <w:p w14:paraId="32CFD9D3">
            <w:pPr>
              <w:pStyle w:val="105"/>
              <w:jc w:val="center"/>
              <w:rPr>
                <w:rFonts w:hint="eastAsia" w:ascii="宋体" w:hAnsi="宋体" w:eastAsia="宋体"/>
                <w:b/>
                <w:bCs/>
                <w:sz w:val="21"/>
                <w:szCs w:val="21"/>
              </w:rPr>
            </w:pPr>
            <w:r>
              <w:rPr>
                <w:rFonts w:hint="eastAsia" w:ascii="宋体" w:hAnsi="宋体" w:eastAsia="宋体"/>
                <w:b/>
                <w:bCs/>
                <w:sz w:val="21"/>
                <w:szCs w:val="21"/>
              </w:rPr>
              <w:t>是否有反担保</w:t>
            </w:r>
          </w:p>
        </w:tc>
      </w:tr>
      <w:tr w14:paraId="233C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56" w:type="dxa"/>
            <w:vAlign w:val="center"/>
          </w:tcPr>
          <w:p w14:paraId="04C5B055">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57C18943">
            <w:pPr>
              <w:pStyle w:val="105"/>
              <w:jc w:val="center"/>
              <w:rPr>
                <w:rFonts w:hint="eastAsia" w:ascii="宋体" w:hAnsi="宋体" w:eastAsia="宋体"/>
                <w:sz w:val="21"/>
                <w:szCs w:val="21"/>
              </w:rPr>
            </w:pPr>
            <w:r>
              <w:rPr>
                <w:rFonts w:hint="eastAsia" w:ascii="宋体" w:hAnsi="宋体" w:eastAsia="宋体"/>
                <w:sz w:val="21"/>
                <w:szCs w:val="21"/>
              </w:rPr>
              <w:t>黔南望江</w:t>
            </w:r>
          </w:p>
        </w:tc>
        <w:tc>
          <w:tcPr>
            <w:tcW w:w="879" w:type="dxa"/>
            <w:vAlign w:val="center"/>
          </w:tcPr>
          <w:p w14:paraId="4A7F08E9">
            <w:pPr>
              <w:pStyle w:val="105"/>
              <w:jc w:val="right"/>
              <w:rPr>
                <w:rFonts w:hint="eastAsia" w:ascii="宋体" w:hAnsi="宋体" w:eastAsia="宋体"/>
                <w:sz w:val="21"/>
                <w:szCs w:val="21"/>
              </w:rPr>
            </w:pPr>
            <w:r>
              <w:rPr>
                <w:rFonts w:hint="eastAsia" w:ascii="宋体" w:hAnsi="宋体" w:eastAsia="宋体"/>
                <w:sz w:val="21"/>
                <w:szCs w:val="21"/>
              </w:rPr>
              <w:t>100</w:t>
            </w:r>
            <w:r>
              <w:rPr>
                <w:rFonts w:hint="eastAsia" w:ascii="宋体" w:hAnsi="宋体" w:eastAsia="宋体"/>
                <w:sz w:val="21"/>
                <w:szCs w:val="21"/>
                <w:lang w:eastAsia="zh-CN"/>
              </w:rPr>
              <w:t>.00</w:t>
            </w:r>
            <w:r>
              <w:rPr>
                <w:rFonts w:hint="eastAsia" w:ascii="宋体" w:hAnsi="宋体" w:eastAsia="宋体"/>
                <w:sz w:val="21"/>
                <w:szCs w:val="21"/>
              </w:rPr>
              <w:t>%</w:t>
            </w:r>
          </w:p>
        </w:tc>
        <w:tc>
          <w:tcPr>
            <w:tcW w:w="1057" w:type="dxa"/>
            <w:vAlign w:val="center"/>
          </w:tcPr>
          <w:p w14:paraId="07B294D4">
            <w:pPr>
              <w:widowControl/>
              <w:jc w:val="right"/>
              <w:textAlignment w:val="center"/>
              <w:rPr>
                <w:rFonts w:hint="eastAsia" w:ascii="宋体" w:hAnsi="宋体"/>
                <w:szCs w:val="21"/>
              </w:rPr>
            </w:pPr>
            <w:r>
              <w:rPr>
                <w:rFonts w:hint="eastAsia" w:asciiTheme="minorEastAsia" w:hAnsiTheme="minorEastAsia" w:eastAsiaTheme="minorEastAsia" w:cstheme="minorEastAsia"/>
                <w:kern w:val="0"/>
                <w:sz w:val="20"/>
                <w:szCs w:val="20"/>
              </w:rPr>
              <w:t>77.25</w:t>
            </w:r>
            <w:r>
              <w:rPr>
                <w:rFonts w:hint="eastAsia" w:ascii="宋体" w:hAnsi="宋体" w:cs="宋体"/>
                <w:color w:val="000000"/>
                <w:kern w:val="0"/>
                <w:szCs w:val="21"/>
                <w:lang w:bidi="ar"/>
              </w:rPr>
              <w:t>%</w:t>
            </w:r>
          </w:p>
        </w:tc>
        <w:tc>
          <w:tcPr>
            <w:tcW w:w="1139" w:type="dxa"/>
            <w:vAlign w:val="center"/>
          </w:tcPr>
          <w:p w14:paraId="0B659174">
            <w:pPr>
              <w:pStyle w:val="105"/>
              <w:jc w:val="right"/>
              <w:rPr>
                <w:rFonts w:hint="eastAsia" w:ascii="宋体" w:hAnsi="宋体" w:eastAsia="宋体"/>
                <w:sz w:val="21"/>
                <w:szCs w:val="21"/>
                <w:lang w:eastAsia="zh-CN"/>
              </w:rPr>
            </w:pPr>
            <w:r>
              <w:rPr>
                <w:rFonts w:ascii="宋体" w:hAnsi="宋体" w:eastAsia="宋体"/>
                <w:sz w:val="21"/>
                <w:szCs w:val="21"/>
                <w:lang w:eastAsia="zh-CN"/>
              </w:rPr>
              <w:t>2</w:t>
            </w:r>
            <w:r>
              <w:rPr>
                <w:rFonts w:hint="eastAsia" w:ascii="宋体" w:hAnsi="宋体" w:eastAsia="宋体"/>
                <w:sz w:val="21"/>
                <w:szCs w:val="21"/>
                <w:lang w:eastAsia="zh-CN"/>
              </w:rPr>
              <w:t>0</w:t>
            </w:r>
            <w:r>
              <w:rPr>
                <w:rFonts w:ascii="宋体" w:hAnsi="宋体" w:eastAsia="宋体"/>
                <w:sz w:val="21"/>
                <w:szCs w:val="21"/>
                <w:lang w:eastAsia="zh-CN"/>
              </w:rPr>
              <w:t>,000</w:t>
            </w:r>
            <w:r>
              <w:rPr>
                <w:rFonts w:hint="eastAsia" w:ascii="宋体" w:hAnsi="宋体" w:eastAsia="宋体"/>
                <w:sz w:val="21"/>
                <w:szCs w:val="21"/>
                <w:lang w:eastAsia="zh-CN"/>
              </w:rPr>
              <w:t>.00</w:t>
            </w:r>
          </w:p>
        </w:tc>
        <w:tc>
          <w:tcPr>
            <w:tcW w:w="1070" w:type="dxa"/>
            <w:vAlign w:val="center"/>
          </w:tcPr>
          <w:p w14:paraId="52CD0D85">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13,000.00</w:t>
            </w:r>
          </w:p>
        </w:tc>
        <w:tc>
          <w:tcPr>
            <w:tcW w:w="1143" w:type="dxa"/>
            <w:vAlign w:val="center"/>
          </w:tcPr>
          <w:p w14:paraId="27A08C93">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 3,731.67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1C673BA">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33994A37">
            <w:pPr>
              <w:pStyle w:val="105"/>
              <w:jc w:val="center"/>
              <w:rPr>
                <w:rFonts w:hint="eastAsia" w:ascii="宋体" w:hAnsi="宋体" w:eastAsia="宋体"/>
                <w:sz w:val="21"/>
                <w:szCs w:val="21"/>
              </w:rPr>
            </w:pPr>
            <w:r>
              <w:rPr>
                <w:rFonts w:hint="eastAsia" w:ascii="宋体" w:hAnsi="宋体" w:eastAsia="宋体"/>
                <w:sz w:val="21"/>
                <w:szCs w:val="21"/>
              </w:rPr>
              <w:t>否</w:t>
            </w:r>
          </w:p>
        </w:tc>
      </w:tr>
      <w:tr w14:paraId="5200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2ECE6951">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74F8D397">
            <w:pPr>
              <w:widowControl/>
              <w:kinsoku w:val="0"/>
              <w:autoSpaceDE w:val="0"/>
              <w:autoSpaceDN w:val="0"/>
              <w:adjustRightInd w:val="0"/>
              <w:snapToGrid w:val="0"/>
              <w:spacing w:line="560" w:lineRule="exact"/>
              <w:jc w:val="center"/>
              <w:textAlignment w:val="baseline"/>
              <w:rPr>
                <w:rFonts w:hint="eastAsia" w:ascii="宋体" w:hAnsi="宋体" w:cs="宋体"/>
                <w:szCs w:val="21"/>
              </w:rPr>
            </w:pPr>
            <w:r>
              <w:rPr>
                <w:rFonts w:hint="eastAsia" w:ascii="宋体" w:hAnsi="宋体" w:cs="宋体"/>
                <w:spacing w:val="-1"/>
                <w:szCs w:val="21"/>
              </w:rPr>
              <w:t>云变电气</w:t>
            </w:r>
          </w:p>
        </w:tc>
        <w:tc>
          <w:tcPr>
            <w:tcW w:w="879" w:type="dxa"/>
            <w:vAlign w:val="center"/>
          </w:tcPr>
          <w:p w14:paraId="24D96DE6">
            <w:pPr>
              <w:pStyle w:val="105"/>
              <w:jc w:val="right"/>
              <w:rPr>
                <w:rFonts w:hint="eastAsia" w:ascii="宋体" w:hAnsi="宋体" w:eastAsia="宋体"/>
                <w:sz w:val="21"/>
                <w:szCs w:val="21"/>
              </w:rPr>
            </w:pPr>
            <w:r>
              <w:rPr>
                <w:rFonts w:ascii="宋体" w:hAnsi="宋体" w:eastAsia="宋体"/>
                <w:sz w:val="21"/>
                <w:szCs w:val="21"/>
              </w:rPr>
              <w:t>79.97%</w:t>
            </w:r>
          </w:p>
        </w:tc>
        <w:tc>
          <w:tcPr>
            <w:tcW w:w="1057" w:type="dxa"/>
            <w:vAlign w:val="center"/>
          </w:tcPr>
          <w:p w14:paraId="4FDADEB5">
            <w:pPr>
              <w:widowControl/>
              <w:jc w:val="right"/>
              <w:textAlignment w:val="center"/>
              <w:rPr>
                <w:rFonts w:hint="eastAsia" w:ascii="宋体" w:hAnsi="宋体"/>
                <w:szCs w:val="21"/>
              </w:rPr>
            </w:pPr>
            <w:r>
              <w:rPr>
                <w:rFonts w:hint="eastAsia" w:ascii="宋体" w:hAnsi="宋体" w:cs="宋体"/>
                <w:color w:val="000000"/>
                <w:kern w:val="0"/>
                <w:szCs w:val="21"/>
                <w:lang w:bidi="ar"/>
              </w:rPr>
              <w:t>56.95%</w:t>
            </w:r>
          </w:p>
        </w:tc>
        <w:tc>
          <w:tcPr>
            <w:tcW w:w="1139" w:type="dxa"/>
            <w:vAlign w:val="center"/>
          </w:tcPr>
          <w:p w14:paraId="730CCECF">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12</w:t>
            </w:r>
            <w:r>
              <w:rPr>
                <w:rFonts w:ascii="宋体" w:hAnsi="宋体" w:eastAsia="宋体"/>
                <w:sz w:val="21"/>
                <w:szCs w:val="21"/>
                <w:lang w:eastAsia="zh-CN"/>
              </w:rPr>
              <w:t>0,000</w:t>
            </w:r>
            <w:r>
              <w:rPr>
                <w:rFonts w:hint="eastAsia" w:ascii="宋体" w:hAnsi="宋体" w:eastAsia="宋体"/>
                <w:sz w:val="21"/>
                <w:szCs w:val="21"/>
                <w:lang w:eastAsia="zh-CN"/>
              </w:rPr>
              <w:t>.00</w:t>
            </w:r>
          </w:p>
        </w:tc>
        <w:tc>
          <w:tcPr>
            <w:tcW w:w="1070" w:type="dxa"/>
            <w:vAlign w:val="center"/>
          </w:tcPr>
          <w:p w14:paraId="1CFC3FCE">
            <w:pPr>
              <w:pStyle w:val="105"/>
              <w:jc w:val="right"/>
              <w:rPr>
                <w:rFonts w:hint="eastAsia" w:ascii="宋体" w:hAnsi="宋体" w:eastAsia="宋体"/>
                <w:sz w:val="21"/>
                <w:szCs w:val="21"/>
              </w:rPr>
            </w:pPr>
            <w:r>
              <w:rPr>
                <w:rFonts w:hint="eastAsia" w:ascii="宋体" w:hAnsi="宋体" w:eastAsia="宋体"/>
                <w:sz w:val="21"/>
                <w:szCs w:val="21"/>
                <w:lang w:eastAsia="zh-CN"/>
              </w:rPr>
              <w:t>54,5</w:t>
            </w:r>
            <w:r>
              <w:rPr>
                <w:rFonts w:hint="eastAsia" w:ascii="宋体" w:hAnsi="宋体" w:eastAsia="宋体"/>
                <w:sz w:val="21"/>
                <w:szCs w:val="21"/>
              </w:rPr>
              <w:t>00.00</w:t>
            </w:r>
          </w:p>
        </w:tc>
        <w:tc>
          <w:tcPr>
            <w:tcW w:w="1143" w:type="dxa"/>
            <w:vAlign w:val="center"/>
          </w:tcPr>
          <w:p w14:paraId="41833572">
            <w:pPr>
              <w:pStyle w:val="105"/>
              <w:jc w:val="right"/>
              <w:rPr>
                <w:rFonts w:hint="eastAsia" w:ascii="宋体" w:hAnsi="宋体" w:eastAsia="宋体"/>
                <w:sz w:val="21"/>
                <w:szCs w:val="21"/>
              </w:rPr>
            </w:pPr>
            <w:r>
              <w:rPr>
                <w:rFonts w:hint="eastAsia" w:ascii="宋体" w:hAnsi="宋体" w:eastAsia="宋体"/>
                <w:sz w:val="21"/>
                <w:szCs w:val="21"/>
                <w:lang w:eastAsia="zh-CN"/>
              </w:rPr>
              <w:t xml:space="preserve"> 37,969.47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493680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1DA49165">
            <w:pPr>
              <w:pStyle w:val="105"/>
              <w:jc w:val="center"/>
              <w:rPr>
                <w:rFonts w:hint="eastAsia" w:ascii="宋体" w:hAnsi="宋体" w:eastAsia="宋体"/>
                <w:sz w:val="21"/>
                <w:szCs w:val="21"/>
              </w:rPr>
            </w:pPr>
            <w:r>
              <w:rPr>
                <w:rFonts w:hint="eastAsia" w:ascii="宋体" w:hAnsi="宋体" w:eastAsia="宋体"/>
                <w:sz w:val="21"/>
                <w:szCs w:val="21"/>
              </w:rPr>
              <w:t>否</w:t>
            </w:r>
          </w:p>
        </w:tc>
      </w:tr>
      <w:tr w14:paraId="2679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55078313">
            <w:pPr>
              <w:pStyle w:val="105"/>
              <w:jc w:val="center"/>
              <w:rPr>
                <w:rFonts w:hint="eastAsia" w:ascii="宋体" w:hAnsi="宋体" w:eastAsia="宋体"/>
                <w:sz w:val="21"/>
                <w:szCs w:val="21"/>
              </w:rPr>
            </w:pPr>
            <w:r>
              <w:rPr>
                <w:rFonts w:hint="eastAsia" w:ascii="宋体" w:hAnsi="宋体" w:eastAsia="宋体"/>
                <w:sz w:val="21"/>
                <w:szCs w:val="21"/>
                <w:lang w:eastAsia="zh-CN"/>
              </w:rPr>
              <w:t>望变电气</w:t>
            </w:r>
          </w:p>
        </w:tc>
        <w:tc>
          <w:tcPr>
            <w:tcW w:w="1040" w:type="dxa"/>
            <w:vAlign w:val="center"/>
          </w:tcPr>
          <w:p w14:paraId="4C80D43C">
            <w:pPr>
              <w:widowControl/>
              <w:kinsoku w:val="0"/>
              <w:autoSpaceDE w:val="0"/>
              <w:autoSpaceDN w:val="0"/>
              <w:adjustRightInd w:val="0"/>
              <w:snapToGrid w:val="0"/>
              <w:spacing w:line="560" w:lineRule="exact"/>
              <w:jc w:val="center"/>
              <w:textAlignment w:val="baseline"/>
              <w:rPr>
                <w:rFonts w:hint="eastAsia" w:ascii="宋体" w:hAnsi="宋体" w:cs="宋体"/>
                <w:spacing w:val="-1"/>
                <w:szCs w:val="21"/>
              </w:rPr>
            </w:pPr>
            <w:r>
              <w:rPr>
                <w:rFonts w:hint="eastAsia" w:ascii="宋体" w:hAnsi="宋体"/>
                <w:szCs w:val="21"/>
              </w:rPr>
              <w:t>惠泽电器</w:t>
            </w:r>
          </w:p>
        </w:tc>
        <w:tc>
          <w:tcPr>
            <w:tcW w:w="879" w:type="dxa"/>
            <w:vAlign w:val="center"/>
          </w:tcPr>
          <w:p w14:paraId="6937FDCE">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100.00%</w:t>
            </w:r>
          </w:p>
        </w:tc>
        <w:tc>
          <w:tcPr>
            <w:tcW w:w="1057" w:type="dxa"/>
            <w:vAlign w:val="center"/>
          </w:tcPr>
          <w:p w14:paraId="6E6C4A27">
            <w:pPr>
              <w:widowControl/>
              <w:jc w:val="right"/>
              <w:textAlignment w:val="center"/>
              <w:rPr>
                <w:rFonts w:hint="eastAsia" w:ascii="宋体" w:hAnsi="宋体"/>
                <w:szCs w:val="21"/>
              </w:rPr>
            </w:pPr>
            <w:r>
              <w:rPr>
                <w:rFonts w:hint="eastAsia" w:asciiTheme="minorEastAsia" w:hAnsiTheme="minorEastAsia" w:eastAsiaTheme="minorEastAsia" w:cstheme="minorEastAsia"/>
                <w:kern w:val="0"/>
                <w:sz w:val="20"/>
                <w:szCs w:val="20"/>
              </w:rPr>
              <w:t>93.73</w:t>
            </w:r>
            <w:r>
              <w:rPr>
                <w:rFonts w:hint="eastAsia" w:ascii="宋体" w:hAnsi="宋体" w:cs="宋体"/>
                <w:color w:val="000000"/>
                <w:kern w:val="0"/>
                <w:szCs w:val="21"/>
                <w:lang w:bidi="ar"/>
              </w:rPr>
              <w:t>%</w:t>
            </w:r>
          </w:p>
        </w:tc>
        <w:tc>
          <w:tcPr>
            <w:tcW w:w="1139" w:type="dxa"/>
            <w:vAlign w:val="center"/>
          </w:tcPr>
          <w:p w14:paraId="24B1EB89">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10,000.00</w:t>
            </w:r>
          </w:p>
        </w:tc>
        <w:tc>
          <w:tcPr>
            <w:tcW w:w="1070" w:type="dxa"/>
            <w:vAlign w:val="center"/>
          </w:tcPr>
          <w:p w14:paraId="488CB4A2">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0</w:t>
            </w:r>
          </w:p>
        </w:tc>
        <w:tc>
          <w:tcPr>
            <w:tcW w:w="1143" w:type="dxa"/>
            <w:vAlign w:val="center"/>
          </w:tcPr>
          <w:p w14:paraId="6B8B1D67">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0   </w:t>
            </w:r>
          </w:p>
        </w:tc>
        <w:tc>
          <w:tcPr>
            <w:tcW w:w="658" w:type="dxa"/>
            <w:vAlign w:val="center"/>
          </w:tcPr>
          <w:p w14:paraId="3AD566D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5EB1D662">
            <w:pPr>
              <w:pStyle w:val="105"/>
              <w:jc w:val="center"/>
              <w:rPr>
                <w:rFonts w:hint="eastAsia" w:ascii="宋体" w:hAnsi="宋体" w:eastAsia="宋体"/>
                <w:sz w:val="21"/>
                <w:szCs w:val="21"/>
              </w:rPr>
            </w:pPr>
            <w:r>
              <w:rPr>
                <w:rFonts w:hint="eastAsia" w:ascii="宋体" w:hAnsi="宋体" w:eastAsia="宋体"/>
                <w:sz w:val="21"/>
                <w:szCs w:val="21"/>
              </w:rPr>
              <w:t>否</w:t>
            </w:r>
          </w:p>
        </w:tc>
      </w:tr>
      <w:tr w14:paraId="21E58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96" w:type="dxa"/>
            <w:gridSpan w:val="2"/>
            <w:vAlign w:val="center"/>
          </w:tcPr>
          <w:p w14:paraId="76A10EEC">
            <w:pPr>
              <w:jc w:val="center"/>
              <w:rPr>
                <w:rFonts w:hint="eastAsia" w:ascii="宋体" w:hAnsi="宋体" w:cs="宋体"/>
                <w:b/>
                <w:bCs/>
                <w:szCs w:val="21"/>
              </w:rPr>
            </w:pPr>
            <w:r>
              <w:rPr>
                <w:rFonts w:hint="eastAsia" w:ascii="宋体" w:hAnsi="宋体" w:cs="宋体"/>
                <w:b/>
                <w:bCs/>
                <w:spacing w:val="-2"/>
                <w:szCs w:val="21"/>
              </w:rPr>
              <w:t>合计</w:t>
            </w:r>
          </w:p>
        </w:tc>
        <w:tc>
          <w:tcPr>
            <w:tcW w:w="879" w:type="dxa"/>
            <w:vAlign w:val="center"/>
          </w:tcPr>
          <w:p w14:paraId="7998FFD3">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057" w:type="dxa"/>
            <w:vAlign w:val="center"/>
          </w:tcPr>
          <w:p w14:paraId="6C58A2D6">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139" w:type="dxa"/>
            <w:vAlign w:val="center"/>
          </w:tcPr>
          <w:p w14:paraId="2C95AE29">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150,000.00</w:t>
            </w:r>
          </w:p>
        </w:tc>
        <w:tc>
          <w:tcPr>
            <w:tcW w:w="1070" w:type="dxa"/>
            <w:vAlign w:val="center"/>
          </w:tcPr>
          <w:p w14:paraId="0D55A9F3">
            <w:pPr>
              <w:pStyle w:val="105"/>
              <w:jc w:val="right"/>
              <w:rPr>
                <w:rFonts w:hint="eastAsia" w:ascii="宋体" w:hAnsi="宋体" w:eastAsia="宋体"/>
                <w:b/>
                <w:bCs/>
                <w:sz w:val="21"/>
                <w:szCs w:val="21"/>
              </w:rPr>
            </w:pPr>
            <w:r>
              <w:rPr>
                <w:rFonts w:hint="eastAsia" w:ascii="宋体" w:hAnsi="宋体" w:eastAsia="宋体"/>
                <w:b/>
                <w:bCs/>
                <w:sz w:val="21"/>
                <w:szCs w:val="21"/>
                <w:lang w:eastAsia="zh-CN"/>
              </w:rPr>
              <w:t>67</w:t>
            </w:r>
            <w:r>
              <w:rPr>
                <w:rFonts w:hint="eastAsia" w:ascii="宋体" w:hAnsi="宋体" w:eastAsia="宋体"/>
                <w:b/>
                <w:bCs/>
                <w:sz w:val="21"/>
                <w:szCs w:val="21"/>
              </w:rPr>
              <w:t>,</w:t>
            </w:r>
            <w:r>
              <w:rPr>
                <w:rFonts w:hint="eastAsia" w:ascii="宋体" w:hAnsi="宋体" w:eastAsia="宋体"/>
                <w:b/>
                <w:bCs/>
                <w:sz w:val="21"/>
                <w:szCs w:val="21"/>
                <w:lang w:eastAsia="zh-CN"/>
              </w:rPr>
              <w:t>5</w:t>
            </w:r>
            <w:r>
              <w:rPr>
                <w:rFonts w:hint="eastAsia" w:ascii="宋体" w:hAnsi="宋体" w:eastAsia="宋体"/>
                <w:b/>
                <w:bCs/>
                <w:sz w:val="21"/>
                <w:szCs w:val="21"/>
              </w:rPr>
              <w:t>00.00</w:t>
            </w:r>
          </w:p>
        </w:tc>
        <w:tc>
          <w:tcPr>
            <w:tcW w:w="1143" w:type="dxa"/>
            <w:vAlign w:val="center"/>
          </w:tcPr>
          <w:p w14:paraId="783B9FD8">
            <w:pPr>
              <w:pStyle w:val="105"/>
              <w:jc w:val="right"/>
              <w:rPr>
                <w:rFonts w:hint="eastAsia" w:ascii="宋体" w:hAnsi="宋体" w:eastAsia="宋体"/>
                <w:b/>
                <w:bCs/>
                <w:sz w:val="21"/>
                <w:szCs w:val="21"/>
              </w:rPr>
            </w:pPr>
            <w:r>
              <w:rPr>
                <w:rFonts w:hint="eastAsia" w:ascii="宋体" w:hAnsi="宋体" w:eastAsia="宋体"/>
                <w:b/>
                <w:bCs/>
                <w:sz w:val="21"/>
                <w:szCs w:val="21"/>
                <w:lang w:eastAsia="zh-CN"/>
              </w:rPr>
              <w:t xml:space="preserve"> 41,701.15     </w:t>
            </w:r>
            <w:r>
              <w:rPr>
                <w:rFonts w:hint="eastAsia" w:ascii="宋体" w:hAnsi="宋体" w:eastAsia="宋体"/>
                <w:b/>
                <w:bCs/>
                <w:sz w:val="21"/>
                <w:szCs w:val="21"/>
              </w:rPr>
              <w:t xml:space="preserve"> </w:t>
            </w:r>
            <w:r>
              <w:rPr>
                <w:rFonts w:hint="eastAsia" w:ascii="宋体" w:hAnsi="宋体" w:eastAsia="宋体"/>
                <w:b/>
                <w:bCs/>
                <w:sz w:val="21"/>
                <w:szCs w:val="21"/>
                <w:lang w:eastAsia="zh-CN"/>
              </w:rPr>
              <w:t xml:space="preserve"> </w:t>
            </w:r>
          </w:p>
        </w:tc>
        <w:tc>
          <w:tcPr>
            <w:tcW w:w="658" w:type="dxa"/>
            <w:vAlign w:val="center"/>
          </w:tcPr>
          <w:p w14:paraId="2D65E95F">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w:t>
            </w:r>
          </w:p>
        </w:tc>
        <w:tc>
          <w:tcPr>
            <w:tcW w:w="619" w:type="dxa"/>
            <w:vAlign w:val="center"/>
          </w:tcPr>
          <w:p w14:paraId="1B8D54A3">
            <w:pPr>
              <w:pStyle w:val="105"/>
              <w:jc w:val="right"/>
              <w:rPr>
                <w:rFonts w:hint="eastAsia" w:ascii="宋体" w:hAnsi="宋体" w:eastAsia="宋体"/>
                <w:b/>
                <w:bCs/>
                <w:sz w:val="21"/>
                <w:szCs w:val="21"/>
              </w:rPr>
            </w:pPr>
            <w:r>
              <w:rPr>
                <w:rFonts w:hint="eastAsia" w:ascii="宋体" w:hAnsi="宋体" w:eastAsia="宋体"/>
                <w:b/>
                <w:bCs/>
                <w:sz w:val="21"/>
                <w:szCs w:val="21"/>
              </w:rPr>
              <w:t>-</w:t>
            </w:r>
          </w:p>
        </w:tc>
      </w:tr>
    </w:tbl>
    <w:p w14:paraId="73BE9953">
      <w:pPr>
        <w:spacing w:line="560" w:lineRule="exact"/>
        <w:rPr>
          <w:rFonts w:hint="eastAsia" w:ascii="宋体" w:hAnsi="宋体" w:cs="宋体"/>
          <w:kern w:val="0"/>
          <w:sz w:val="21"/>
          <w:szCs w:val="21"/>
        </w:rPr>
      </w:pPr>
      <w:r>
        <w:rPr>
          <w:rFonts w:hint="eastAsia" w:ascii="宋体" w:hAnsi="宋体" w:cs="宋体"/>
          <w:kern w:val="0"/>
          <w:sz w:val="21"/>
          <w:szCs w:val="21"/>
        </w:rPr>
        <w:t>注：尾数差异系小数点四舍五入造成。</w:t>
      </w:r>
    </w:p>
    <w:p w14:paraId="5BCA6F6C">
      <w:pPr>
        <w:numPr>
          <w:ilvl w:val="0"/>
          <w:numId w:val="14"/>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被担保人基本情况</w:t>
      </w:r>
    </w:p>
    <w:p w14:paraId="33097C48">
      <w:pPr>
        <w:autoSpaceDE w:val="0"/>
        <w:autoSpaceDN w:val="0"/>
        <w:adjustRightInd w:val="0"/>
        <w:spacing w:line="560" w:lineRule="exact"/>
        <w:ind w:firstLine="480" w:firstLineChars="200"/>
        <w:rPr>
          <w:rFonts w:hint="eastAsia" w:ascii="宋体" w:hAnsi="宋体" w:cs="宋体"/>
          <w:bCs/>
          <w:sz w:val="24"/>
          <w:szCs w:val="24"/>
        </w:rPr>
      </w:pPr>
      <w:r>
        <w:rPr>
          <w:rFonts w:hint="eastAsia" w:ascii="宋体" w:hAnsi="宋体" w:cs="宋体"/>
          <w:bCs/>
          <w:sz w:val="24"/>
          <w:szCs w:val="24"/>
        </w:rPr>
        <w:t>（一）本月新增担保的被担保方</w:t>
      </w:r>
      <w:r>
        <w:rPr>
          <w:rFonts w:hint="eastAsia" w:ascii="宋体" w:hAnsi="宋体" w:cs="宋体"/>
          <w:bCs/>
          <w:snapToGrid w:val="0"/>
          <w:kern w:val="0"/>
          <w:sz w:val="24"/>
          <w:szCs w:val="24"/>
        </w:rPr>
        <w:t>云变电气的基本情况如下：</w:t>
      </w:r>
    </w:p>
    <w:p w14:paraId="7A6FA206">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 xml:space="preserve">公司名称：云南变压器电气股份有限公司 </w:t>
      </w:r>
    </w:p>
    <w:p w14:paraId="71295D4B">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统一社会信用代码：91530000713402501X</w:t>
      </w:r>
    </w:p>
    <w:p w14:paraId="259CCD39">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成立时间：1999年01月23日</w:t>
      </w:r>
    </w:p>
    <w:p w14:paraId="7645731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 xml:space="preserve">注册地点：中国（云南）自由贸易试验区昆明片区经开区洛羊街道办事处拓翔路212号 </w:t>
      </w:r>
    </w:p>
    <w:p w14:paraId="7FE60168">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法定代表人：肖斌</w:t>
      </w:r>
    </w:p>
    <w:p w14:paraId="26C3FC1D">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注册资本：人民币 10,041.3641万元</w:t>
      </w:r>
    </w:p>
    <w:p w14:paraId="1446BA02">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主要股东：公司持股79.97%</w:t>
      </w:r>
    </w:p>
    <w:p w14:paraId="4A9B3195">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经营范围：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14:paraId="61A7BF49">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最近一年及一期的财务数据：</w:t>
      </w:r>
    </w:p>
    <w:p w14:paraId="7832BC92">
      <w:pPr>
        <w:widowControl/>
        <w:kinsoku w:val="0"/>
        <w:autoSpaceDE w:val="0"/>
        <w:autoSpaceDN w:val="0"/>
        <w:adjustRightInd w:val="0"/>
        <w:snapToGrid w:val="0"/>
        <w:spacing w:line="560" w:lineRule="exact"/>
        <w:jc w:val="right"/>
        <w:textAlignment w:val="baseline"/>
        <w:rPr>
          <w:rFonts w:hint="eastAsia" w:ascii="宋体" w:hAnsi="宋体" w:cs="宋体"/>
          <w:bCs/>
          <w:snapToGrid w:val="0"/>
          <w:kern w:val="0"/>
          <w:szCs w:val="21"/>
          <w:lang w:eastAsia="en-US"/>
        </w:rPr>
      </w:pPr>
      <w:r>
        <w:rPr>
          <w:rFonts w:hint="eastAsia" w:ascii="宋体" w:hAnsi="宋体" w:cs="宋体"/>
          <w:bCs/>
          <w:snapToGrid w:val="0"/>
          <w:kern w:val="0"/>
          <w:szCs w:val="21"/>
        </w:rPr>
        <w:t xml:space="preserve">  </w:t>
      </w:r>
      <w:r>
        <w:rPr>
          <w:rFonts w:hint="eastAsia" w:ascii="宋体" w:hAnsi="宋体" w:cs="宋体"/>
          <w:bCs/>
          <w:snapToGrid w:val="0"/>
          <w:kern w:val="0"/>
          <w:szCs w:val="21"/>
          <w:lang w:eastAsia="en-US"/>
        </w:rPr>
        <w:t>单位：人民币/万元</w:t>
      </w:r>
    </w:p>
    <w:tbl>
      <w:tblPr>
        <w:tblStyle w:val="89"/>
        <w:tblpPr w:leftFromText="180" w:rightFromText="180" w:vertAnchor="text" w:horzAnchor="page" w:tblpX="1806" w:tblpY="22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3326"/>
        <w:gridCol w:w="3328"/>
      </w:tblGrid>
      <w:tr w14:paraId="0B75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5D8AB5C6">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财务指标</w:t>
            </w:r>
          </w:p>
        </w:tc>
        <w:tc>
          <w:tcPr>
            <w:tcW w:w="1953" w:type="pct"/>
            <w:vAlign w:val="center"/>
          </w:tcPr>
          <w:p w14:paraId="1D27FC8A">
            <w:pPr>
              <w:autoSpaceDE w:val="0"/>
              <w:autoSpaceDN w:val="0"/>
              <w:adjustRightInd w:val="0"/>
              <w:spacing w:line="560" w:lineRule="exact"/>
              <w:jc w:val="center"/>
              <w:rPr>
                <w:rFonts w:hint="eastAsia" w:ascii="宋体" w:hAnsi="宋体" w:cs="宋体"/>
                <w:kern w:val="0"/>
                <w:sz w:val="20"/>
                <w:szCs w:val="20"/>
              </w:rPr>
            </w:pPr>
            <w:r>
              <w:rPr>
                <w:rFonts w:hint="eastAsia" w:ascii="宋体" w:hAnsi="宋体" w:cs="宋体"/>
                <w:kern w:val="0"/>
                <w:sz w:val="20"/>
                <w:szCs w:val="20"/>
              </w:rPr>
              <w:t>2024年9月30日（未经审计）</w:t>
            </w:r>
          </w:p>
        </w:tc>
        <w:tc>
          <w:tcPr>
            <w:tcW w:w="1954" w:type="pct"/>
            <w:vAlign w:val="center"/>
          </w:tcPr>
          <w:p w14:paraId="508CA15F">
            <w:pPr>
              <w:autoSpaceDE w:val="0"/>
              <w:autoSpaceDN w:val="0"/>
              <w:adjustRightInd w:val="0"/>
              <w:spacing w:line="560" w:lineRule="exact"/>
              <w:jc w:val="center"/>
              <w:rPr>
                <w:rFonts w:hint="eastAsia" w:ascii="宋体" w:hAnsi="宋体" w:cs="宋体"/>
                <w:kern w:val="0"/>
                <w:sz w:val="20"/>
                <w:szCs w:val="20"/>
              </w:rPr>
            </w:pPr>
            <w:r>
              <w:rPr>
                <w:rFonts w:hint="eastAsia" w:ascii="宋体" w:hAnsi="宋体" w:cs="宋体"/>
                <w:kern w:val="0"/>
                <w:sz w:val="20"/>
                <w:szCs w:val="20"/>
              </w:rPr>
              <w:t>2023年12月31日（经审计）</w:t>
            </w:r>
          </w:p>
        </w:tc>
      </w:tr>
      <w:tr w14:paraId="6A05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D7B3252">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资产总额</w:t>
            </w:r>
          </w:p>
        </w:tc>
        <w:tc>
          <w:tcPr>
            <w:tcW w:w="3329" w:type="dxa"/>
            <w:vAlign w:val="center"/>
          </w:tcPr>
          <w:p w14:paraId="67B9C338">
            <w:pPr>
              <w:widowControl/>
              <w:jc w:val="righ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163,833.17</w:t>
            </w:r>
          </w:p>
        </w:tc>
        <w:tc>
          <w:tcPr>
            <w:tcW w:w="3330" w:type="dxa"/>
            <w:vAlign w:val="center"/>
          </w:tcPr>
          <w:p w14:paraId="34C43273">
            <w:pPr>
              <w:widowControl/>
              <w:jc w:val="right"/>
              <w:textAlignment w:val="center"/>
              <w:rPr>
                <w:rFonts w:hint="eastAsia" w:ascii="宋体" w:hAnsi="宋体" w:cs="宋体"/>
                <w:sz w:val="20"/>
                <w:szCs w:val="20"/>
              </w:rPr>
            </w:pPr>
            <w:r>
              <w:rPr>
                <w:rFonts w:hint="eastAsia" w:ascii="宋体" w:hAnsi="宋体" w:cs="宋体"/>
                <w:color w:val="000000"/>
                <w:kern w:val="0"/>
                <w:sz w:val="20"/>
                <w:szCs w:val="20"/>
                <w:lang w:bidi="ar"/>
              </w:rPr>
              <w:t>158,731.03</w:t>
            </w:r>
          </w:p>
        </w:tc>
      </w:tr>
      <w:tr w14:paraId="2094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147F08C8">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负债总额</w:t>
            </w:r>
          </w:p>
        </w:tc>
        <w:tc>
          <w:tcPr>
            <w:tcW w:w="3329" w:type="dxa"/>
            <w:vAlign w:val="center"/>
          </w:tcPr>
          <w:p w14:paraId="5A2581DD">
            <w:pPr>
              <w:widowControl/>
              <w:jc w:val="right"/>
              <w:textAlignment w:val="center"/>
              <w:rPr>
                <w:rFonts w:hint="eastAsia" w:ascii="宋体" w:hAnsi="宋体" w:cs="宋体"/>
                <w:kern w:val="0"/>
                <w:sz w:val="20"/>
                <w:szCs w:val="20"/>
                <w:lang w:bidi="ar"/>
              </w:rPr>
            </w:pPr>
            <w:r>
              <w:rPr>
                <w:rFonts w:hint="eastAsia" w:ascii="仿宋" w:hAnsi="仿宋" w:eastAsia="仿宋" w:cs="仿宋"/>
                <w:kern w:val="0"/>
                <w:sz w:val="20"/>
                <w:szCs w:val="20"/>
                <w:lang w:bidi="ar"/>
              </w:rPr>
              <w:t>93,309.04</w:t>
            </w:r>
          </w:p>
        </w:tc>
        <w:tc>
          <w:tcPr>
            <w:tcW w:w="3330" w:type="dxa"/>
            <w:vAlign w:val="center"/>
          </w:tcPr>
          <w:p w14:paraId="1B490ED3">
            <w:pPr>
              <w:widowControl/>
              <w:jc w:val="right"/>
              <w:textAlignment w:val="center"/>
              <w:rPr>
                <w:rFonts w:hint="eastAsia" w:ascii="宋体" w:hAnsi="宋体" w:cs="宋体"/>
                <w:kern w:val="0"/>
                <w:sz w:val="20"/>
                <w:szCs w:val="20"/>
              </w:rPr>
            </w:pPr>
            <w:r>
              <w:rPr>
                <w:rFonts w:hint="eastAsia" w:ascii="宋体" w:hAnsi="宋体" w:cs="宋体"/>
                <w:color w:val="000000"/>
                <w:kern w:val="0"/>
                <w:sz w:val="20"/>
                <w:szCs w:val="20"/>
                <w:lang w:bidi="ar"/>
              </w:rPr>
              <w:t>91,439.85</w:t>
            </w:r>
          </w:p>
        </w:tc>
      </w:tr>
      <w:tr w14:paraId="24B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3384E5DF">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净资产</w:t>
            </w:r>
          </w:p>
        </w:tc>
        <w:tc>
          <w:tcPr>
            <w:tcW w:w="3329" w:type="dxa"/>
            <w:vAlign w:val="center"/>
          </w:tcPr>
          <w:p w14:paraId="396F8234">
            <w:pPr>
              <w:widowControl/>
              <w:jc w:val="right"/>
              <w:textAlignment w:val="center"/>
              <w:rPr>
                <w:rFonts w:hint="eastAsia" w:ascii="宋体" w:hAnsi="宋体" w:cs="宋体"/>
                <w:kern w:val="0"/>
                <w:sz w:val="20"/>
                <w:szCs w:val="20"/>
                <w:lang w:bidi="ar"/>
              </w:rPr>
            </w:pPr>
            <w:r>
              <w:rPr>
                <w:rFonts w:hint="eastAsia" w:ascii="宋体" w:hAnsi="宋体" w:cs="宋体"/>
                <w:kern w:val="0"/>
                <w:sz w:val="20"/>
                <w:szCs w:val="20"/>
                <w:lang w:bidi="ar"/>
              </w:rPr>
              <w:t>70,524.13</w:t>
            </w:r>
          </w:p>
        </w:tc>
        <w:tc>
          <w:tcPr>
            <w:tcW w:w="3330" w:type="dxa"/>
            <w:vAlign w:val="center"/>
          </w:tcPr>
          <w:p w14:paraId="60B33263">
            <w:pPr>
              <w:widowControl/>
              <w:jc w:val="right"/>
              <w:textAlignment w:val="center"/>
              <w:rPr>
                <w:rFonts w:hint="eastAsia" w:ascii="宋体" w:hAnsi="宋体" w:cs="宋体"/>
                <w:kern w:val="0"/>
                <w:sz w:val="20"/>
                <w:szCs w:val="20"/>
              </w:rPr>
            </w:pPr>
            <w:r>
              <w:rPr>
                <w:rFonts w:hint="eastAsia" w:ascii="宋体" w:hAnsi="宋体" w:cs="宋体"/>
                <w:color w:val="000000"/>
                <w:kern w:val="0"/>
                <w:sz w:val="20"/>
                <w:szCs w:val="20"/>
                <w:lang w:bidi="ar"/>
              </w:rPr>
              <w:t>67,291.18</w:t>
            </w:r>
          </w:p>
        </w:tc>
      </w:tr>
      <w:tr w14:paraId="60BC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41C01DBB">
            <w:pPr>
              <w:autoSpaceDE w:val="0"/>
              <w:autoSpaceDN w:val="0"/>
              <w:adjustRightInd w:val="0"/>
              <w:spacing w:line="560" w:lineRule="exact"/>
              <w:rPr>
                <w:rFonts w:hint="eastAsia" w:ascii="宋体" w:hAnsi="宋体" w:cs="宋体"/>
                <w:b/>
                <w:bCs/>
                <w:kern w:val="0"/>
                <w:sz w:val="20"/>
                <w:szCs w:val="20"/>
              </w:rPr>
            </w:pPr>
          </w:p>
        </w:tc>
        <w:tc>
          <w:tcPr>
            <w:tcW w:w="1953" w:type="pct"/>
            <w:vAlign w:val="center"/>
          </w:tcPr>
          <w:p w14:paraId="0A4D50B6">
            <w:pPr>
              <w:widowControl/>
              <w:jc w:val="center"/>
              <w:textAlignment w:val="center"/>
              <w:rPr>
                <w:rFonts w:hint="eastAsia" w:ascii="宋体" w:hAnsi="宋体" w:cs="宋体"/>
                <w:kern w:val="0"/>
                <w:sz w:val="20"/>
                <w:szCs w:val="20"/>
                <w:lang w:bidi="ar"/>
              </w:rPr>
            </w:pPr>
            <w:r>
              <w:rPr>
                <w:rFonts w:hint="eastAsia" w:ascii="宋体" w:hAnsi="宋体" w:cs="宋体"/>
                <w:color w:val="000000"/>
                <w:kern w:val="0"/>
                <w:sz w:val="20"/>
                <w:szCs w:val="20"/>
                <w:lang w:bidi="ar"/>
              </w:rPr>
              <w:t>2024年1-9月（未经审计）</w:t>
            </w:r>
          </w:p>
        </w:tc>
        <w:tc>
          <w:tcPr>
            <w:tcW w:w="1954" w:type="pct"/>
            <w:vAlign w:val="center"/>
          </w:tcPr>
          <w:p w14:paraId="0E91C34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2023年1-12月（经审计）</w:t>
            </w:r>
          </w:p>
        </w:tc>
      </w:tr>
      <w:tr w14:paraId="49CE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6DA89ED">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营业收入</w:t>
            </w:r>
          </w:p>
        </w:tc>
        <w:tc>
          <w:tcPr>
            <w:tcW w:w="3329" w:type="dxa"/>
            <w:vAlign w:val="center"/>
          </w:tcPr>
          <w:p w14:paraId="3D52AD12">
            <w:pPr>
              <w:widowControl/>
              <w:jc w:val="right"/>
              <w:textAlignment w:val="center"/>
              <w:rPr>
                <w:rFonts w:hint="eastAsia" w:ascii="宋体" w:hAnsi="宋体" w:cs="宋体"/>
                <w:kern w:val="0"/>
                <w:sz w:val="20"/>
                <w:szCs w:val="20"/>
                <w:lang w:bidi="ar"/>
              </w:rPr>
            </w:pPr>
            <w:r>
              <w:rPr>
                <w:rFonts w:hint="eastAsia" w:ascii="仿宋" w:hAnsi="仿宋" w:eastAsia="仿宋" w:cs="仿宋"/>
                <w:kern w:val="0"/>
                <w:sz w:val="20"/>
                <w:szCs w:val="20"/>
                <w:lang w:bidi="ar"/>
              </w:rPr>
              <w:t>60,774.93</w:t>
            </w:r>
          </w:p>
        </w:tc>
        <w:tc>
          <w:tcPr>
            <w:tcW w:w="3330" w:type="dxa"/>
            <w:vAlign w:val="center"/>
          </w:tcPr>
          <w:p w14:paraId="3E9D6C11">
            <w:pPr>
              <w:widowControl/>
              <w:jc w:val="right"/>
              <w:textAlignment w:val="center"/>
              <w:rPr>
                <w:rFonts w:hint="eastAsia" w:ascii="宋体" w:hAnsi="宋体" w:cs="宋体"/>
                <w:kern w:val="0"/>
                <w:sz w:val="20"/>
                <w:szCs w:val="20"/>
              </w:rPr>
            </w:pPr>
            <w:r>
              <w:rPr>
                <w:rFonts w:hint="eastAsia" w:ascii="宋体" w:hAnsi="宋体" w:cs="宋体"/>
                <w:color w:val="000000"/>
                <w:kern w:val="0"/>
                <w:sz w:val="20"/>
                <w:szCs w:val="20"/>
                <w:lang w:bidi="ar"/>
              </w:rPr>
              <w:t>80,828.53</w:t>
            </w:r>
          </w:p>
        </w:tc>
      </w:tr>
      <w:tr w14:paraId="5EC4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92" w:type="pct"/>
          </w:tcPr>
          <w:p w14:paraId="2C645448">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净利润</w:t>
            </w:r>
          </w:p>
        </w:tc>
        <w:tc>
          <w:tcPr>
            <w:tcW w:w="3329" w:type="dxa"/>
            <w:vAlign w:val="center"/>
          </w:tcPr>
          <w:p w14:paraId="15824AA7">
            <w:pPr>
              <w:widowControl/>
              <w:jc w:val="right"/>
              <w:textAlignment w:val="center"/>
              <w:rPr>
                <w:rFonts w:hint="eastAsia" w:ascii="宋体" w:hAnsi="宋体" w:cs="宋体"/>
                <w:kern w:val="0"/>
                <w:sz w:val="20"/>
                <w:szCs w:val="20"/>
                <w:lang w:bidi="ar"/>
              </w:rPr>
            </w:pPr>
            <w:r>
              <w:rPr>
                <w:rFonts w:hint="eastAsia" w:ascii="仿宋" w:hAnsi="仿宋" w:eastAsia="仿宋" w:cs="仿宋"/>
                <w:kern w:val="0"/>
                <w:sz w:val="20"/>
                <w:szCs w:val="20"/>
                <w:lang w:bidi="ar"/>
              </w:rPr>
              <w:t>2,211.55</w:t>
            </w:r>
          </w:p>
        </w:tc>
        <w:tc>
          <w:tcPr>
            <w:tcW w:w="3330" w:type="dxa"/>
            <w:vAlign w:val="center"/>
          </w:tcPr>
          <w:p w14:paraId="0E2A71CE">
            <w:pPr>
              <w:widowControl/>
              <w:jc w:val="right"/>
              <w:textAlignment w:val="center"/>
              <w:rPr>
                <w:rFonts w:hint="eastAsia" w:ascii="宋体" w:hAnsi="宋体" w:cs="宋体"/>
                <w:kern w:val="0"/>
                <w:sz w:val="20"/>
                <w:szCs w:val="20"/>
              </w:rPr>
            </w:pPr>
            <w:r>
              <w:rPr>
                <w:rFonts w:hint="eastAsia" w:ascii="宋体" w:hAnsi="宋体" w:cs="宋体"/>
                <w:color w:val="000000"/>
                <w:kern w:val="0"/>
                <w:sz w:val="20"/>
                <w:szCs w:val="20"/>
                <w:lang w:bidi="ar"/>
              </w:rPr>
              <w:t>8,112.29</w:t>
            </w:r>
          </w:p>
        </w:tc>
      </w:tr>
    </w:tbl>
    <w:p w14:paraId="709F177F">
      <w:pPr>
        <w:numPr>
          <w:ilvl w:val="0"/>
          <w:numId w:val="15"/>
        </w:numPr>
        <w:autoSpaceDE w:val="0"/>
        <w:autoSpaceDN w:val="0"/>
        <w:adjustRightInd w:val="0"/>
        <w:spacing w:line="560" w:lineRule="exact"/>
        <w:rPr>
          <w:rFonts w:hint="eastAsia" w:ascii="宋体" w:hAnsi="宋体" w:cs="宋体"/>
          <w:bCs/>
          <w:snapToGrid w:val="0"/>
          <w:kern w:val="0"/>
          <w:sz w:val="24"/>
          <w:szCs w:val="24"/>
        </w:rPr>
      </w:pPr>
      <w:r>
        <w:rPr>
          <w:rFonts w:hint="eastAsia" w:ascii="宋体" w:hAnsi="宋体" w:cs="宋体"/>
          <w:bCs/>
          <w:sz w:val="24"/>
          <w:szCs w:val="24"/>
        </w:rPr>
        <w:t>本月新增担保的被担保方</w:t>
      </w:r>
      <w:r>
        <w:rPr>
          <w:rFonts w:hint="eastAsia" w:ascii="宋体" w:hAnsi="宋体" w:cs="宋体"/>
          <w:bCs/>
          <w:snapToGrid w:val="0"/>
          <w:kern w:val="0"/>
          <w:sz w:val="24"/>
          <w:szCs w:val="24"/>
        </w:rPr>
        <w:t>黔南望江的基本情况如下：</w:t>
      </w:r>
    </w:p>
    <w:p w14:paraId="0355CAB5">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rPr>
      </w:pPr>
      <w:r>
        <w:rPr>
          <w:rFonts w:hint="eastAsia" w:ascii="宋体" w:hAnsi="宋体" w:cs="宋体"/>
          <w:bCs/>
          <w:snapToGrid w:val="0"/>
          <w:kern w:val="0"/>
          <w:sz w:val="24"/>
        </w:rPr>
        <w:t>公司名称：黔南望江变压器有限公司</w:t>
      </w:r>
    </w:p>
    <w:p w14:paraId="53A4098E">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rPr>
      </w:pPr>
      <w:r>
        <w:rPr>
          <w:rFonts w:hint="eastAsia" w:ascii="宋体" w:hAnsi="宋体" w:cs="宋体"/>
          <w:bCs/>
          <w:snapToGrid w:val="0"/>
          <w:kern w:val="0"/>
          <w:sz w:val="24"/>
        </w:rPr>
        <w:t>统一社会信用代码：91522701789761914Q</w:t>
      </w:r>
    </w:p>
    <w:p w14:paraId="2C89B57B">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rPr>
      </w:pPr>
      <w:r>
        <w:rPr>
          <w:rFonts w:hint="eastAsia" w:ascii="宋体" w:hAnsi="宋体" w:cs="宋体"/>
          <w:bCs/>
          <w:snapToGrid w:val="0"/>
          <w:kern w:val="0"/>
          <w:sz w:val="24"/>
        </w:rPr>
        <w:t>成立时间：2007年8月21日</w:t>
      </w:r>
    </w:p>
    <w:p w14:paraId="6F495076">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rPr>
      </w:pPr>
      <w:r>
        <w:rPr>
          <w:rFonts w:hint="eastAsia" w:ascii="宋体" w:hAnsi="宋体" w:cs="宋体"/>
          <w:bCs/>
          <w:snapToGrid w:val="0"/>
          <w:kern w:val="0"/>
          <w:sz w:val="24"/>
        </w:rPr>
        <w:t>注册地：贵州省黔南州都匀市绿茵湖街道红朗路8号</w:t>
      </w:r>
    </w:p>
    <w:p w14:paraId="656331FF">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rPr>
      </w:pPr>
      <w:r>
        <w:rPr>
          <w:rFonts w:hint="eastAsia" w:ascii="宋体" w:hAnsi="宋体" w:cs="宋体"/>
          <w:bCs/>
          <w:snapToGrid w:val="0"/>
          <w:kern w:val="0"/>
          <w:sz w:val="24"/>
        </w:rPr>
        <w:t>法定代表人：王海波</w:t>
      </w:r>
    </w:p>
    <w:p w14:paraId="59C9E289">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rPr>
      </w:pPr>
      <w:r>
        <w:rPr>
          <w:rFonts w:hint="eastAsia" w:ascii="宋体" w:hAnsi="宋体" w:cs="宋体"/>
          <w:bCs/>
          <w:snapToGrid w:val="0"/>
          <w:kern w:val="0"/>
          <w:sz w:val="24"/>
        </w:rPr>
        <w:t>注册资本：人民币6000万元</w:t>
      </w:r>
    </w:p>
    <w:p w14:paraId="3EFA06FF">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rPr>
      </w:pPr>
      <w:r>
        <w:rPr>
          <w:rFonts w:hint="eastAsia" w:ascii="宋体" w:hAnsi="宋体" w:cs="宋体"/>
          <w:bCs/>
          <w:snapToGrid w:val="0"/>
          <w:kern w:val="0"/>
          <w:sz w:val="24"/>
        </w:rPr>
        <w:t>主要股东：重庆望变电气（集团）股份有限公司（100%）</w:t>
      </w:r>
    </w:p>
    <w:p w14:paraId="58CB36AB">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rPr>
      </w:pPr>
      <w:r>
        <w:rPr>
          <w:rFonts w:hint="eastAsia" w:ascii="宋体" w:hAnsi="宋体" w:cs="宋体"/>
          <w:bCs/>
          <w:snapToGrid w:val="0"/>
          <w:kern w:val="0"/>
          <w:sz w:val="24"/>
        </w:rPr>
        <w:t>经营范围：法律、法规、国务院决定规定禁止的不得经营；法律、法规、国务院 决定规定应当许可(审批)的，经审批机关批准后凭许可(审批)文件经营；法律、法规、国务院决定规定无需许可(审批)的，市场主体自主选择经营。电力变压器、矿用变压器、各种高低压成套电力设备及配件、低压无功补偿装置、各类特种变压器与配电设备的制造、销售和改造维修，普通道路货物运输(不含危险品)涉及许可经营项目，应取得相关部门许可后方可经营。</w:t>
      </w:r>
    </w:p>
    <w:p w14:paraId="679B284D">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rPr>
      </w:pPr>
      <w:r>
        <w:rPr>
          <w:rFonts w:hint="eastAsia" w:ascii="宋体" w:hAnsi="宋体" w:cs="宋体"/>
          <w:bCs/>
          <w:snapToGrid w:val="0"/>
          <w:kern w:val="0"/>
          <w:sz w:val="24"/>
        </w:rPr>
        <w:t>最近一年一期主要财务指标如下：</w:t>
      </w:r>
    </w:p>
    <w:p w14:paraId="7A662A70">
      <w:pPr>
        <w:widowControl/>
        <w:kinsoku w:val="0"/>
        <w:autoSpaceDE w:val="0"/>
        <w:autoSpaceDN w:val="0"/>
        <w:adjustRightInd w:val="0"/>
        <w:snapToGrid w:val="0"/>
        <w:spacing w:line="560" w:lineRule="exact"/>
        <w:ind w:firstLine="480" w:firstLineChars="200"/>
        <w:jc w:val="right"/>
        <w:textAlignment w:val="baseline"/>
        <w:rPr>
          <w:rFonts w:hint="eastAsia" w:ascii="宋体" w:hAnsi="宋体" w:cs="宋体"/>
          <w:bCs/>
          <w:snapToGrid w:val="0"/>
          <w:kern w:val="0"/>
          <w:sz w:val="24"/>
        </w:rPr>
      </w:pPr>
      <w:r>
        <w:rPr>
          <w:rFonts w:hint="eastAsia" w:ascii="宋体" w:hAnsi="宋体" w:cs="宋体"/>
          <w:bCs/>
          <w:snapToGrid w:val="0"/>
          <w:kern w:val="0"/>
          <w:sz w:val="24"/>
        </w:rPr>
        <w:t>单位：人民币/万元</w:t>
      </w:r>
    </w:p>
    <w:tbl>
      <w:tblPr>
        <w:tblStyle w:val="89"/>
        <w:tblpPr w:leftFromText="180" w:rightFromText="180" w:vertAnchor="text" w:horzAnchor="page" w:tblpX="1806" w:tblpY="22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3326"/>
        <w:gridCol w:w="3328"/>
      </w:tblGrid>
      <w:tr w14:paraId="48A7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961E534">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财务指标</w:t>
            </w:r>
          </w:p>
        </w:tc>
        <w:tc>
          <w:tcPr>
            <w:tcW w:w="1953" w:type="pct"/>
          </w:tcPr>
          <w:p w14:paraId="5B963E57">
            <w:pPr>
              <w:autoSpaceDE w:val="0"/>
              <w:autoSpaceDN w:val="0"/>
              <w:adjustRightInd w:val="0"/>
              <w:spacing w:line="560" w:lineRule="exact"/>
              <w:jc w:val="center"/>
              <w:rPr>
                <w:rFonts w:hint="eastAsia" w:ascii="宋体" w:hAnsi="宋体" w:cs="宋体"/>
                <w:kern w:val="0"/>
                <w:sz w:val="20"/>
                <w:szCs w:val="20"/>
              </w:rPr>
            </w:pPr>
            <w:r>
              <w:rPr>
                <w:rFonts w:hint="eastAsia" w:ascii="宋体" w:hAnsi="宋体" w:cs="宋体"/>
                <w:kern w:val="0"/>
                <w:sz w:val="20"/>
                <w:szCs w:val="20"/>
              </w:rPr>
              <w:t>2024年9月30日（未经审计）</w:t>
            </w:r>
          </w:p>
        </w:tc>
        <w:tc>
          <w:tcPr>
            <w:tcW w:w="1954" w:type="pct"/>
          </w:tcPr>
          <w:p w14:paraId="34F42098">
            <w:pPr>
              <w:autoSpaceDE w:val="0"/>
              <w:autoSpaceDN w:val="0"/>
              <w:adjustRightInd w:val="0"/>
              <w:spacing w:line="560" w:lineRule="exact"/>
              <w:jc w:val="center"/>
              <w:rPr>
                <w:rFonts w:hint="eastAsia" w:ascii="宋体" w:hAnsi="宋体" w:cs="宋体"/>
                <w:kern w:val="0"/>
                <w:sz w:val="20"/>
                <w:szCs w:val="20"/>
              </w:rPr>
            </w:pPr>
            <w:r>
              <w:rPr>
                <w:rFonts w:hint="eastAsia" w:ascii="宋体" w:hAnsi="宋体" w:cs="宋体"/>
                <w:kern w:val="0"/>
                <w:sz w:val="20"/>
                <w:szCs w:val="20"/>
              </w:rPr>
              <w:t>2023年12月31日(经审计)</w:t>
            </w:r>
          </w:p>
        </w:tc>
      </w:tr>
      <w:tr w14:paraId="0A4F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27BA1B1A">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资产总额</w:t>
            </w:r>
          </w:p>
        </w:tc>
        <w:tc>
          <w:tcPr>
            <w:tcW w:w="3329" w:type="dxa"/>
            <w:vAlign w:val="center"/>
          </w:tcPr>
          <w:p w14:paraId="3DCCD30B">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19,131.80  </w:t>
            </w:r>
          </w:p>
        </w:tc>
        <w:tc>
          <w:tcPr>
            <w:tcW w:w="3330" w:type="dxa"/>
            <w:vAlign w:val="center"/>
          </w:tcPr>
          <w:p w14:paraId="708D523C">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19,560.68 </w:t>
            </w:r>
          </w:p>
        </w:tc>
      </w:tr>
      <w:tr w14:paraId="262E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1730A660">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负债总额</w:t>
            </w:r>
          </w:p>
        </w:tc>
        <w:tc>
          <w:tcPr>
            <w:tcW w:w="3329" w:type="dxa"/>
            <w:vAlign w:val="center"/>
          </w:tcPr>
          <w:p w14:paraId="548EEF1C">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14,779.67 </w:t>
            </w:r>
          </w:p>
        </w:tc>
        <w:tc>
          <w:tcPr>
            <w:tcW w:w="3330" w:type="dxa"/>
            <w:vAlign w:val="center"/>
          </w:tcPr>
          <w:p w14:paraId="11224883">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15,328.63  </w:t>
            </w:r>
          </w:p>
        </w:tc>
      </w:tr>
      <w:tr w14:paraId="7B1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282D41DF">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净资产</w:t>
            </w:r>
          </w:p>
        </w:tc>
        <w:tc>
          <w:tcPr>
            <w:tcW w:w="3329" w:type="dxa"/>
            <w:vAlign w:val="center"/>
          </w:tcPr>
          <w:p w14:paraId="2B82DAF5">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4,352.13 </w:t>
            </w:r>
          </w:p>
        </w:tc>
        <w:tc>
          <w:tcPr>
            <w:tcW w:w="3330" w:type="dxa"/>
            <w:vAlign w:val="center"/>
          </w:tcPr>
          <w:p w14:paraId="44ECCCF2">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4,232.05  </w:t>
            </w:r>
          </w:p>
        </w:tc>
      </w:tr>
      <w:tr w14:paraId="4A6A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3E966D28">
            <w:pPr>
              <w:autoSpaceDE w:val="0"/>
              <w:autoSpaceDN w:val="0"/>
              <w:adjustRightInd w:val="0"/>
              <w:spacing w:line="560" w:lineRule="exact"/>
              <w:rPr>
                <w:rFonts w:hint="eastAsia" w:ascii="宋体" w:hAnsi="宋体" w:cs="宋体"/>
                <w:b/>
                <w:bCs/>
                <w:kern w:val="0"/>
                <w:sz w:val="20"/>
                <w:szCs w:val="20"/>
              </w:rPr>
            </w:pPr>
          </w:p>
        </w:tc>
        <w:tc>
          <w:tcPr>
            <w:tcW w:w="1953" w:type="pct"/>
            <w:vAlign w:val="center"/>
          </w:tcPr>
          <w:p w14:paraId="78125497">
            <w:pPr>
              <w:autoSpaceDE w:val="0"/>
              <w:autoSpaceDN w:val="0"/>
              <w:adjustRightInd w:val="0"/>
              <w:spacing w:line="560" w:lineRule="exact"/>
              <w:jc w:val="center"/>
              <w:rPr>
                <w:rFonts w:hint="eastAsia" w:ascii="宋体" w:hAnsi="宋体" w:cs="宋体"/>
                <w:kern w:val="0"/>
                <w:sz w:val="20"/>
                <w:szCs w:val="20"/>
              </w:rPr>
            </w:pPr>
            <w:r>
              <w:rPr>
                <w:rFonts w:hint="eastAsia" w:ascii="宋体" w:hAnsi="宋体" w:cs="宋体"/>
                <w:kern w:val="0"/>
                <w:sz w:val="20"/>
                <w:szCs w:val="20"/>
              </w:rPr>
              <w:t>2024年1-9月（未经审计）</w:t>
            </w:r>
          </w:p>
        </w:tc>
        <w:tc>
          <w:tcPr>
            <w:tcW w:w="1954" w:type="pct"/>
            <w:vAlign w:val="center"/>
          </w:tcPr>
          <w:p w14:paraId="31332CFE">
            <w:pPr>
              <w:autoSpaceDE w:val="0"/>
              <w:autoSpaceDN w:val="0"/>
              <w:adjustRightInd w:val="0"/>
              <w:spacing w:line="560" w:lineRule="exact"/>
              <w:jc w:val="center"/>
              <w:rPr>
                <w:rFonts w:hint="eastAsia" w:ascii="宋体" w:hAnsi="宋体" w:cs="宋体"/>
                <w:kern w:val="0"/>
                <w:sz w:val="20"/>
                <w:szCs w:val="20"/>
              </w:rPr>
            </w:pPr>
            <w:r>
              <w:rPr>
                <w:rFonts w:hint="eastAsia" w:ascii="宋体" w:hAnsi="宋体" w:cs="宋体"/>
                <w:kern w:val="0"/>
                <w:sz w:val="20"/>
                <w:szCs w:val="20"/>
              </w:rPr>
              <w:t>2023年1-12月（经审计）</w:t>
            </w:r>
          </w:p>
        </w:tc>
      </w:tr>
      <w:tr w14:paraId="12AA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3E8D1E49">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营业收入</w:t>
            </w:r>
          </w:p>
        </w:tc>
        <w:tc>
          <w:tcPr>
            <w:tcW w:w="3329" w:type="dxa"/>
            <w:vAlign w:val="center"/>
          </w:tcPr>
          <w:p w14:paraId="43233F02">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7,496.37  </w:t>
            </w:r>
          </w:p>
        </w:tc>
        <w:tc>
          <w:tcPr>
            <w:tcW w:w="3330" w:type="dxa"/>
            <w:vAlign w:val="center"/>
          </w:tcPr>
          <w:p w14:paraId="1230BC3C">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13,226.90  </w:t>
            </w:r>
          </w:p>
        </w:tc>
      </w:tr>
      <w:tr w14:paraId="53D0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92" w:type="pct"/>
          </w:tcPr>
          <w:p w14:paraId="3E792820">
            <w:pPr>
              <w:autoSpaceDE w:val="0"/>
              <w:autoSpaceDN w:val="0"/>
              <w:adjustRightInd w:val="0"/>
              <w:spacing w:line="560" w:lineRule="exact"/>
              <w:rPr>
                <w:rFonts w:hint="eastAsia" w:ascii="宋体" w:hAnsi="宋体" w:cs="宋体"/>
                <w:b/>
                <w:bCs/>
                <w:kern w:val="0"/>
                <w:sz w:val="20"/>
                <w:szCs w:val="20"/>
              </w:rPr>
            </w:pPr>
            <w:r>
              <w:rPr>
                <w:rFonts w:hint="eastAsia" w:ascii="宋体" w:hAnsi="宋体" w:cs="宋体"/>
                <w:b/>
                <w:bCs/>
                <w:kern w:val="0"/>
                <w:sz w:val="20"/>
                <w:szCs w:val="20"/>
              </w:rPr>
              <w:t>净利润</w:t>
            </w:r>
          </w:p>
        </w:tc>
        <w:tc>
          <w:tcPr>
            <w:tcW w:w="3329" w:type="dxa"/>
            <w:vAlign w:val="center"/>
          </w:tcPr>
          <w:p w14:paraId="155FD9D7">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9.20  </w:t>
            </w:r>
          </w:p>
        </w:tc>
        <w:tc>
          <w:tcPr>
            <w:tcW w:w="3330" w:type="dxa"/>
            <w:vAlign w:val="center"/>
          </w:tcPr>
          <w:p w14:paraId="31833318">
            <w:pPr>
              <w:autoSpaceDE w:val="0"/>
              <w:autoSpaceDN w:val="0"/>
              <w:adjustRightInd w:val="0"/>
              <w:spacing w:line="560" w:lineRule="exact"/>
              <w:jc w:val="right"/>
              <w:rPr>
                <w:rFonts w:hint="eastAsia" w:ascii="宋体" w:hAnsi="宋体" w:cs="宋体"/>
                <w:kern w:val="0"/>
                <w:sz w:val="20"/>
                <w:szCs w:val="20"/>
              </w:rPr>
            </w:pPr>
            <w:r>
              <w:rPr>
                <w:rFonts w:hint="eastAsia" w:ascii="宋体" w:hAnsi="宋体" w:cs="宋体"/>
                <w:kern w:val="0"/>
                <w:sz w:val="20"/>
                <w:szCs w:val="20"/>
              </w:rPr>
              <w:t xml:space="preserve"> -879.39  </w:t>
            </w:r>
          </w:p>
        </w:tc>
      </w:tr>
    </w:tbl>
    <w:p w14:paraId="354F0268">
      <w:pPr>
        <w:numPr>
          <w:ilvl w:val="255"/>
          <w:numId w:val="0"/>
        </w:numPr>
        <w:autoSpaceDE w:val="0"/>
        <w:autoSpaceDN w:val="0"/>
        <w:adjustRightInd w:val="0"/>
        <w:spacing w:line="560" w:lineRule="exact"/>
        <w:rPr>
          <w:rFonts w:hint="eastAsia" w:ascii="宋体" w:hAnsi="宋体" w:cs="宋体"/>
          <w:bCs/>
          <w:snapToGrid w:val="0"/>
          <w:kern w:val="0"/>
          <w:sz w:val="24"/>
          <w:szCs w:val="24"/>
        </w:rPr>
      </w:pPr>
    </w:p>
    <w:p w14:paraId="493C1485">
      <w:pPr>
        <w:numPr>
          <w:ilvl w:val="0"/>
          <w:numId w:val="14"/>
        </w:numPr>
        <w:autoSpaceDE w:val="0"/>
        <w:autoSpaceDN w:val="0"/>
        <w:adjustRightInd w:val="0"/>
        <w:spacing w:line="560" w:lineRule="exact"/>
        <w:rPr>
          <w:rFonts w:hint="eastAsia" w:ascii="宋体" w:hAnsi="宋体" w:cs="宋体"/>
          <w:b/>
          <w:kern w:val="0"/>
          <w:sz w:val="24"/>
          <w:szCs w:val="24"/>
        </w:rPr>
      </w:pPr>
      <w:r>
        <w:rPr>
          <w:rFonts w:hint="eastAsia" w:ascii="宋体" w:hAnsi="宋体" w:cs="宋体"/>
          <w:b/>
          <w:kern w:val="0"/>
          <w:sz w:val="24"/>
          <w:szCs w:val="24"/>
        </w:rPr>
        <w:t>本月签署的《保证合同》主要内容</w:t>
      </w:r>
    </w:p>
    <w:p w14:paraId="6F22CB51">
      <w:pPr>
        <w:numPr>
          <w:ilvl w:val="0"/>
          <w:numId w:val="16"/>
        </w:num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光大银行昆明分行《保证合同》</w:t>
      </w:r>
    </w:p>
    <w:p w14:paraId="1824BC30">
      <w:pPr>
        <w:pStyle w:val="81"/>
        <w:spacing w:beforeAutospacing="0" w:afterAutospacing="0" w:line="560" w:lineRule="exact"/>
        <w:ind w:firstLine="480" w:firstLineChars="200"/>
        <w:rPr>
          <w:rFonts w:hint="eastAsia" w:ascii="宋体" w:hAnsi="宋体" w:cs="宋体"/>
          <w:szCs w:val="24"/>
        </w:rPr>
      </w:pPr>
      <w:r>
        <w:rPr>
          <w:rFonts w:hint="eastAsia" w:ascii="宋体" w:hAnsi="宋体" w:cs="宋体"/>
          <w:bCs/>
          <w:snapToGrid w:val="0"/>
          <w:szCs w:val="24"/>
        </w:rPr>
        <w:t>1、</w:t>
      </w:r>
      <w:r>
        <w:rPr>
          <w:rFonts w:hint="eastAsia" w:ascii="宋体" w:hAnsi="宋体" w:cs="宋体"/>
          <w:szCs w:val="24"/>
        </w:rPr>
        <w:t>保证人：重庆望变电气(集团)股份有限公司</w:t>
      </w:r>
    </w:p>
    <w:p w14:paraId="1E735603">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2、保证方式：连带保证责任</w:t>
      </w:r>
    </w:p>
    <w:p w14:paraId="42F9D768">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3、保证范围：保证人提供的担保范围为光大银行昆明分行与云变电气签订的《固定资产暨项目融资借款合同》（以下简称“主合同”）（所担保的主债权本金为人民币2,000万元整）项下应偿还或支付的本金及利息、复利、罚息、违约金、损害赔偿金和实现债权的费用。实现债权的费用包括但不限于诉讼/仲裁费用、律师费用、保全费、鉴定费、差旅费、公证费用、执行费及其它应付费用。</w:t>
      </w:r>
    </w:p>
    <w:p w14:paraId="614567CF">
      <w:pPr>
        <w:numPr>
          <w:ilvl w:val="255"/>
          <w:numId w:val="0"/>
        </w:num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4、担保期限：主合同项下债务履行期限届满之日起三年。如因法律规定或主合同约定的事件发生而导致主合同项下债务提前到期，保证期间为债务提前到期日起三年。保证人同意债务展期的，保证期间为展期协议重新约定的债务履行期间届满之日起三年。如主合同项下债务分期履行，则对每期债务而言，保证期间均为最后一期债务履行期间届满之日起三年。</w:t>
      </w:r>
    </w:p>
    <w:p w14:paraId="774AADCB">
      <w:pPr>
        <w:numPr>
          <w:ilvl w:val="0"/>
          <w:numId w:val="16"/>
        </w:num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黑林铺信用社《保证合同》</w:t>
      </w:r>
    </w:p>
    <w:p w14:paraId="0DFF96D7">
      <w:pPr>
        <w:pStyle w:val="81"/>
        <w:spacing w:beforeAutospacing="0" w:afterAutospacing="0" w:line="560" w:lineRule="exact"/>
        <w:ind w:firstLine="480" w:firstLineChars="200"/>
        <w:rPr>
          <w:rFonts w:hint="eastAsia" w:ascii="宋体" w:hAnsi="宋体" w:cs="宋体"/>
          <w:szCs w:val="24"/>
        </w:rPr>
      </w:pPr>
      <w:r>
        <w:rPr>
          <w:rFonts w:hint="eastAsia" w:ascii="宋体" w:hAnsi="宋体" w:cs="宋体"/>
          <w:bCs/>
          <w:snapToGrid w:val="0"/>
          <w:szCs w:val="24"/>
        </w:rPr>
        <w:t>1、</w:t>
      </w:r>
      <w:r>
        <w:rPr>
          <w:rFonts w:hint="eastAsia" w:ascii="宋体" w:hAnsi="宋体" w:cs="宋体"/>
          <w:szCs w:val="24"/>
        </w:rPr>
        <w:t>保证人：重庆望变电气(集团)股份有限公司</w:t>
      </w:r>
    </w:p>
    <w:p w14:paraId="60326640">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2、保证方式：连带保证责任</w:t>
      </w:r>
    </w:p>
    <w:p w14:paraId="02F7E406">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3、保证范围：保证人所担保的债权为黑林铺信用社依据其与云变电气签订的《流动资金借款合同》（以下简称“主合同”）（所担保的主债权本金最高额为人民币7,000万元整）而享有的对云变电气的债权。保证人在本《保证合同》项下保证担保的范围包括：债权本金、利息、罚息(含逾期罚息及挪用罚息)、复利、违约金、损害赔偿金、补偿金、贷款人为实现债权和相关从权利而发生的费用(包括但不限于诉讼费、仲裁费、保全费、公告费、鉴定费、拍卖费、差旅费、通讯费、律师代理费、执行费等)以及其他应付的费用(法律、法规另有规定或双方另有约定的除外);</w:t>
      </w:r>
    </w:p>
    <w:p w14:paraId="544BEFFF">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主合同解除或被撤销的，保证人应对债务人按主合同约定应返还的借款本金、 应支付的其他费用及支出承担担保责任。</w:t>
      </w:r>
    </w:p>
    <w:p w14:paraId="1C3692F4">
      <w:pPr>
        <w:numPr>
          <w:ilvl w:val="0"/>
          <w:numId w:val="17"/>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担保期限：</w:t>
      </w:r>
    </w:p>
    <w:p w14:paraId="269B97F5">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若主合同为借款合同，则本合同项下的保证期间为：自主合同项下的借款期限届满之日起三年；黑林铺信用社根据主合同之约定宣布借款提前到期的，则保证期间为借款提前到期之日起三年。</w:t>
      </w:r>
    </w:p>
    <w:p w14:paraId="50E7059C">
      <w:pPr>
        <w:numPr>
          <w:ilvl w:val="0"/>
          <w:numId w:val="16"/>
        </w:num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广发银行昆明支行《最高额保证合同》</w:t>
      </w:r>
    </w:p>
    <w:p w14:paraId="4EFE569E">
      <w:pPr>
        <w:pStyle w:val="81"/>
        <w:spacing w:beforeAutospacing="0" w:afterAutospacing="0" w:line="560" w:lineRule="exact"/>
        <w:ind w:firstLine="480" w:firstLineChars="200"/>
        <w:rPr>
          <w:rFonts w:hint="eastAsia" w:ascii="宋体" w:hAnsi="宋体" w:cs="宋体"/>
          <w:szCs w:val="24"/>
        </w:rPr>
      </w:pPr>
      <w:r>
        <w:rPr>
          <w:rFonts w:hint="eastAsia" w:ascii="宋体" w:hAnsi="宋体" w:cs="宋体"/>
          <w:bCs/>
          <w:snapToGrid w:val="0"/>
          <w:szCs w:val="24"/>
        </w:rPr>
        <w:t>1、</w:t>
      </w:r>
      <w:r>
        <w:rPr>
          <w:rFonts w:hint="eastAsia" w:ascii="宋体" w:hAnsi="宋体" w:cs="宋体"/>
          <w:szCs w:val="24"/>
        </w:rPr>
        <w:t>保证人：重庆望变电气(集团)股份有限公司</w:t>
      </w:r>
    </w:p>
    <w:p w14:paraId="64BD0D8C">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2、保证方式：连带保证责任</w:t>
      </w:r>
    </w:p>
    <w:p w14:paraId="56BB0311">
      <w:pPr>
        <w:numPr>
          <w:ilvl w:val="255"/>
          <w:numId w:val="0"/>
        </w:num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3、担保范围：保证的范围包括云变电气与广发银行昆明支行签订的《授信额度合同》（以下简称“主合同”）（所担保的主债权最高本金余额为人民币10,000万元整）项下的债务本金、利息、罚息</w:t>
      </w:r>
      <w:bookmarkStart w:id="0" w:name="_GoBack"/>
      <w:bookmarkEnd w:id="0"/>
      <w:r>
        <w:rPr>
          <w:rFonts w:hint="eastAsia" w:ascii="宋体" w:hAnsi="宋体" w:cs="宋体"/>
          <w:kern w:val="0"/>
          <w:sz w:val="24"/>
          <w:szCs w:val="24"/>
        </w:rPr>
        <w:t>、复利、违约金、损害赔偿金、为实现债权而发生的费用(包括但不限于诉讼费、仲裁费、律师费、差旅费、执行费、保全费、评估费、拍卖或变卖费、过户费、公告费等)和其他所有应付费用。</w:t>
      </w:r>
    </w:p>
    <w:p w14:paraId="2A7BE486">
      <w:pPr>
        <w:numPr>
          <w:ilvl w:val="255"/>
          <w:numId w:val="0"/>
        </w:num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4、担保期限：</w:t>
      </w:r>
    </w:p>
    <w:p w14:paraId="4F0FBE30">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4.1 、《最高额保证合同》项下的保证期间为：自主合同债务人履行债务期限届满之日起三年。</w:t>
      </w:r>
    </w:p>
    <w:p w14:paraId="29D74237">
      <w:pPr>
        <w:numPr>
          <w:ilvl w:val="255"/>
          <w:numId w:val="0"/>
        </w:num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4.2、保证人在此同意并确认，如果广发银行昆明支行依法或根据主合同约定要求主合同 债务人提前履行债务的，保证期间自债务人提前履行债务期限届满之日起三年。</w:t>
      </w:r>
    </w:p>
    <w:p w14:paraId="098FE30D">
      <w:pPr>
        <w:numPr>
          <w:ilvl w:val="255"/>
          <w:numId w:val="0"/>
        </w:num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4.3 、在保证期间内，广发银行昆明支行有权就主债权的全部或部分、多笔或单笔， 一并或分别要求保证人承担保证责任。如任何一笔主债权为分期清偿，则其保证期间</w:t>
      </w:r>
    </w:p>
    <w:p w14:paraId="6B62290E">
      <w:pPr>
        <w:numPr>
          <w:ilvl w:val="255"/>
          <w:numId w:val="0"/>
        </w:num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为自本合同生效之日起至最后一期债务履行期届满之日后三年。</w:t>
      </w:r>
    </w:p>
    <w:p w14:paraId="7AA1A6F2">
      <w:pPr>
        <w:numPr>
          <w:ilvl w:val="255"/>
          <w:numId w:val="0"/>
        </w:num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4.4 、如债权人与债务人就债务履行期限达成展期协议的，保证人同意继续 承担保证责任，保证期间自展期协议约定的债务履行期限届满之日起三年。</w:t>
      </w:r>
    </w:p>
    <w:p w14:paraId="1AC65E41">
      <w:pPr>
        <w:numPr>
          <w:ilvl w:val="0"/>
          <w:numId w:val="16"/>
        </w:num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光大银行贵阳分行《最高额保证合同》</w:t>
      </w:r>
    </w:p>
    <w:p w14:paraId="19FA76F7">
      <w:pPr>
        <w:pStyle w:val="81"/>
        <w:spacing w:beforeAutospacing="0" w:afterAutospacing="0" w:line="560" w:lineRule="exact"/>
        <w:ind w:firstLine="480" w:firstLineChars="200"/>
        <w:rPr>
          <w:rFonts w:hint="eastAsia" w:ascii="宋体" w:hAnsi="宋体" w:cs="宋体"/>
          <w:szCs w:val="24"/>
        </w:rPr>
      </w:pPr>
      <w:r>
        <w:rPr>
          <w:rFonts w:hint="eastAsia" w:ascii="宋体" w:hAnsi="宋体" w:cs="宋体"/>
          <w:bCs/>
          <w:snapToGrid w:val="0"/>
          <w:szCs w:val="24"/>
        </w:rPr>
        <w:t>1、</w:t>
      </w:r>
      <w:r>
        <w:rPr>
          <w:rFonts w:hint="eastAsia" w:ascii="宋体" w:hAnsi="宋体" w:cs="宋体"/>
          <w:szCs w:val="24"/>
        </w:rPr>
        <w:t>保证人：重庆望变电气(集团)股份有限公司</w:t>
      </w:r>
    </w:p>
    <w:p w14:paraId="74D5EE43">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2、保证方式：连带保证责任</w:t>
      </w:r>
    </w:p>
    <w:p w14:paraId="0663BC95">
      <w:pPr>
        <w:numPr>
          <w:ilvl w:val="255"/>
          <w:numId w:val="0"/>
        </w:num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 xml:space="preserve">   3、保证范围：黔南望江与光大银行贵阳分行签订的《综合授信协议》（所担保的主债权最高本金余额为2,000万元）项下应偿还或支付的债务本金、利息（包括法定利息、约定利息及罚息）、复利、违约金、损害赔偿金、实现债权的费用（包括但不限于诉讼/仲裁费用、律师费用、保全费用、鉴定费用、差旅费用、公证费用、执行费用等）和所有其他应付的费用、款项。</w:t>
      </w:r>
    </w:p>
    <w:p w14:paraId="4C3ADCD5">
      <w:pPr>
        <w:numPr>
          <w:ilvl w:val="255"/>
          <w:numId w:val="0"/>
        </w:num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4、保证期限：《综合授信协议》项下的每一笔具体授信业务的保证期间单独计算，为自具体授信业务合同或协议约定的受信人履行债务期限届满之日起三年。如因法律规定或具体授信业务合同或协议约定的事件发生而导致债务提前到期，保证期间为债务提前到期日起三年。保证人同意债务展期的，保证期间为展期协议重新约定的债务履行期限届满之日起三年。如具体授信业务合同或协议项下债务分期履行，则对每期债务而言，保证期间均为最后一期债务履行期限届满之日起三年。</w:t>
      </w:r>
    </w:p>
    <w:p w14:paraId="67BEC282">
      <w:p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四、担保的必要性和合理性</w:t>
      </w:r>
    </w:p>
    <w:p w14:paraId="77DF22F8">
      <w:pPr>
        <w:pStyle w:val="81"/>
        <w:autoSpaceDE w:val="0"/>
        <w:autoSpaceDN w:val="0"/>
        <w:adjustRightInd w:val="0"/>
        <w:spacing w:beforeAutospacing="0" w:afterAutospacing="0" w:line="560" w:lineRule="exact"/>
        <w:ind w:firstLine="480" w:firstLineChars="200"/>
        <w:rPr>
          <w:rFonts w:hint="eastAsia" w:ascii="宋体" w:hAnsi="宋体" w:cs="宋体"/>
          <w:bCs/>
          <w:snapToGrid w:val="0"/>
          <w:szCs w:val="24"/>
        </w:rPr>
      </w:pPr>
      <w:r>
        <w:rPr>
          <w:rFonts w:hint="eastAsia" w:ascii="宋体" w:hAnsi="宋体" w:cs="宋体"/>
          <w:bCs/>
          <w:snapToGrid w:val="0"/>
          <w:szCs w:val="24"/>
        </w:rPr>
        <w:t>公司本月新增的对外担保主要为满足子公司日常生产经营需要，保证其生产经营活动的顺利开展，符合公司实际经营情况和整体发展战略，具有必要性和合理性。被担保对象为公司控股子公司和全资子公司，公司对其日常经营活动和资信状况能够及时掌握，担保风险总体可控，不会对公司及股东特别是中小股东利益造成重大不利影响。</w:t>
      </w:r>
    </w:p>
    <w:p w14:paraId="660C3901">
      <w:pPr>
        <w:tabs>
          <w:tab w:val="left" w:pos="3468"/>
        </w:tabs>
        <w:autoSpaceDE w:val="0"/>
        <w:autoSpaceDN w:val="0"/>
        <w:adjustRightInd w:val="0"/>
        <w:spacing w:before="159" w:beforeLines="50" w:line="360" w:lineRule="auto"/>
        <w:rPr>
          <w:rFonts w:hint="eastAsia" w:ascii="宋体" w:hAnsi="宋体" w:cs="宋体"/>
          <w:b/>
          <w:sz w:val="24"/>
          <w:szCs w:val="24"/>
        </w:rPr>
      </w:pPr>
      <w:r>
        <w:rPr>
          <w:rFonts w:hint="eastAsia" w:ascii="宋体" w:hAnsi="宋体" w:cs="宋体"/>
          <w:b/>
          <w:sz w:val="24"/>
          <w:szCs w:val="24"/>
        </w:rPr>
        <w:t>五、累计对外担保数量及逾期担保的数量</w:t>
      </w:r>
    </w:p>
    <w:p w14:paraId="1E47E60B">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截至2025年3月末，公司对外担保均为对子公司的担保，累计担保总额为67,500.00万元，担保余额为 41,701.15 万元，担保余额占公司最近一期经审计净资产的17.44%；不存在逾期担保。</w:t>
      </w:r>
    </w:p>
    <w:p w14:paraId="3DC7205B">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截止2025年3月末，公司及子公司可用担保额度为119,000.00万元（包含惠泽电器10,000.00万元、黔南望江18,000.00万元和云变电气91,000.00万元），均为经公司2024年第三次临时股东会会议审议通过的2025年度担保额度。</w:t>
      </w:r>
    </w:p>
    <w:p w14:paraId="0781C32D">
      <w:pPr>
        <w:autoSpaceDE w:val="0"/>
        <w:autoSpaceDN w:val="0"/>
        <w:adjustRightInd w:val="0"/>
        <w:spacing w:before="159" w:beforeLines="50" w:line="360" w:lineRule="auto"/>
        <w:ind w:firstLine="480" w:firstLineChars="200"/>
        <w:rPr>
          <w:rFonts w:hint="eastAsia" w:ascii="宋体" w:hAnsi="宋体" w:cs="宋体"/>
          <w:b/>
          <w:sz w:val="24"/>
          <w:szCs w:val="24"/>
        </w:rPr>
      </w:pPr>
      <w:r>
        <w:rPr>
          <w:rFonts w:hint="eastAsia" w:ascii="宋体" w:hAnsi="宋体" w:cs="宋体"/>
          <w:kern w:val="0"/>
          <w:sz w:val="24"/>
          <w:szCs w:val="24"/>
        </w:rPr>
        <w:t>特此公告。</w:t>
      </w:r>
    </w:p>
    <w:p w14:paraId="2EDFB188">
      <w:pPr>
        <w:autoSpaceDE w:val="0"/>
        <w:autoSpaceDN w:val="0"/>
        <w:adjustRightInd w:val="0"/>
        <w:spacing w:line="560" w:lineRule="exact"/>
        <w:jc w:val="left"/>
        <w:rPr>
          <w:rFonts w:hint="eastAsia" w:ascii="宋体" w:hAnsi="宋体" w:cs="宋体"/>
          <w:kern w:val="0"/>
          <w:sz w:val="24"/>
          <w:szCs w:val="24"/>
        </w:rPr>
      </w:pPr>
    </w:p>
    <w:p w14:paraId="530905B0">
      <w:pPr>
        <w:adjustRightInd w:val="0"/>
        <w:snapToGrid w:val="0"/>
        <w:spacing w:line="560" w:lineRule="exact"/>
        <w:ind w:firstLine="480" w:firstLineChars="200"/>
        <w:jc w:val="right"/>
        <w:rPr>
          <w:rFonts w:hint="eastAsia" w:ascii="宋体" w:hAnsi="宋体"/>
          <w:sz w:val="24"/>
          <w:szCs w:val="24"/>
        </w:rPr>
      </w:pPr>
      <w:r>
        <w:rPr>
          <w:rFonts w:hint="eastAsia" w:ascii="宋体" w:hAnsi="宋体" w:cs="宋体"/>
          <w:kern w:val="0"/>
          <w:sz w:val="24"/>
          <w:szCs w:val="24"/>
        </w:rPr>
        <w:t>重庆望变电气（集团）</w:t>
      </w:r>
      <w:r>
        <w:rPr>
          <w:rFonts w:hint="eastAsia" w:ascii="宋体" w:hAnsi="宋体" w:cs="仿宋_GB2312"/>
          <w:sz w:val="24"/>
          <w:szCs w:val="24"/>
        </w:rPr>
        <w:t>股</w:t>
      </w:r>
      <w:r>
        <w:rPr>
          <w:rFonts w:hint="eastAsia" w:ascii="宋体" w:hAnsi="宋体"/>
          <w:sz w:val="24"/>
          <w:szCs w:val="24"/>
        </w:rPr>
        <w:t>份有限公司董事会</w:t>
      </w:r>
    </w:p>
    <w:p w14:paraId="408BD968">
      <w:pPr>
        <w:adjustRightInd w:val="0"/>
        <w:snapToGrid w:val="0"/>
        <w:spacing w:line="560" w:lineRule="exact"/>
        <w:ind w:firstLine="480" w:firstLineChars="200"/>
        <w:jc w:val="right"/>
        <w:rPr>
          <w:rFonts w:hint="eastAsia" w:ascii="宋体" w:hAnsi="宋体" w:cs="宋体"/>
          <w:kern w:val="0"/>
          <w:sz w:val="24"/>
          <w:szCs w:val="24"/>
        </w:rPr>
      </w:pPr>
      <w:r>
        <w:rPr>
          <w:rFonts w:ascii="宋体" w:hAnsi="宋体"/>
          <w:sz w:val="24"/>
          <w:szCs w:val="24"/>
        </w:rPr>
        <w:t>202</w:t>
      </w:r>
      <w:r>
        <w:rPr>
          <w:rFonts w:hint="eastAsia" w:ascii="宋体" w:hAnsi="宋体"/>
          <w:sz w:val="24"/>
          <w:szCs w:val="24"/>
        </w:rPr>
        <w:t>5年4月3日</w:t>
      </w:r>
    </w:p>
    <w:p w14:paraId="67A2A472">
      <w:pPr>
        <w:autoSpaceDE w:val="0"/>
        <w:autoSpaceDN w:val="0"/>
        <w:adjustRightInd w:val="0"/>
        <w:snapToGrid w:val="0"/>
        <w:spacing w:line="560" w:lineRule="exact"/>
        <w:ind w:firstLine="480" w:firstLineChars="200"/>
        <w:rPr>
          <w:rFonts w:hint="eastAsia" w:ascii="宋体" w:hAnsi="宋体" w:cs="宋体"/>
          <w:sz w:val="24"/>
          <w:szCs w:val="24"/>
        </w:rPr>
      </w:pPr>
    </w:p>
    <w:p w14:paraId="4CCB618B"/>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49F2DEA0">
        <w:pPr>
          <w:pStyle w:val="55"/>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02F9E"/>
    <w:multiLevelType w:val="singleLevel"/>
    <w:tmpl w:val="92F02F9E"/>
    <w:lvl w:ilvl="0" w:tentative="0">
      <w:start w:val="1"/>
      <w:numFmt w:val="chineseCounting"/>
      <w:suff w:val="nothing"/>
      <w:lvlText w:val="（%1）"/>
      <w:lvlJc w:val="left"/>
      <w:rPr>
        <w:rFonts w:hint="eastAsia"/>
      </w:rPr>
    </w:lvl>
  </w:abstractNum>
  <w:abstractNum w:abstractNumId="1">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12129906"/>
    <w:multiLevelType w:val="singleLevel"/>
    <w:tmpl w:val="12129906"/>
    <w:lvl w:ilvl="0" w:tentative="0">
      <w:start w:val="2"/>
      <w:numFmt w:val="chineseCounting"/>
      <w:suff w:val="nothing"/>
      <w:lvlText w:val="（%1）"/>
      <w:lvlJc w:val="left"/>
      <w:rPr>
        <w:rFonts w:hint="eastAsia"/>
      </w:rPr>
    </w:lvl>
  </w:abstractNum>
  <w:abstractNum w:abstractNumId="13">
    <w:nsid w:val="22712713"/>
    <w:multiLevelType w:val="singleLevel"/>
    <w:tmpl w:val="22712713"/>
    <w:lvl w:ilvl="0" w:tentative="0">
      <w:start w:val="1"/>
      <w:numFmt w:val="bullet"/>
      <w:pStyle w:val="94"/>
      <w:lvlText w:val=""/>
      <w:lvlJc w:val="left"/>
      <w:pPr>
        <w:ind w:left="420" w:hanging="420"/>
      </w:pPr>
      <w:rPr>
        <w:rFonts w:hint="default" w:ascii="Wingdings" w:hAnsi="Wingdings"/>
      </w:rPr>
    </w:lvl>
  </w:abstractNum>
  <w:abstractNum w:abstractNumId="14">
    <w:nsid w:val="4019ABB1"/>
    <w:multiLevelType w:val="singleLevel"/>
    <w:tmpl w:val="4019ABB1"/>
    <w:lvl w:ilvl="0" w:tentative="0">
      <w:start w:val="4"/>
      <w:numFmt w:val="decimal"/>
      <w:suff w:val="nothing"/>
      <w:lvlText w:val="%1、"/>
      <w:lvlJc w:val="left"/>
    </w:lvl>
  </w:abstractNum>
  <w:abstractNum w:abstractNumId="15">
    <w:nsid w:val="40EC9271"/>
    <w:multiLevelType w:val="singleLevel"/>
    <w:tmpl w:val="40EC9271"/>
    <w:lvl w:ilvl="0" w:tentative="0">
      <w:start w:val="2"/>
      <w:numFmt w:val="chineseCounting"/>
      <w:suff w:val="nothing"/>
      <w:lvlText w:val="%1、"/>
      <w:lvlJc w:val="left"/>
      <w:rPr>
        <w:rFonts w:hint="eastAsia"/>
      </w:rPr>
    </w:lvl>
  </w:abstractNum>
  <w:abstractNum w:abstractNumId="16">
    <w:nsid w:val="655C0D75"/>
    <w:multiLevelType w:val="singleLevel"/>
    <w:tmpl w:val="655C0D75"/>
    <w:lvl w:ilvl="0" w:tentative="0">
      <w:start w:val="1"/>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3"/>
  </w:num>
  <w:num w:numId="12">
    <w:abstractNumId w:val="1"/>
  </w:num>
  <w:num w:numId="13">
    <w:abstractNumId w:val="16"/>
  </w:num>
  <w:num w:numId="14">
    <w:abstractNumId w:val="15"/>
  </w:num>
  <w:num w:numId="15">
    <w:abstractNumId w:val="1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00BF2ECD"/>
    <w:rsid w:val="00000558"/>
    <w:rsid w:val="00000BC9"/>
    <w:rsid w:val="0000604D"/>
    <w:rsid w:val="00030B8F"/>
    <w:rsid w:val="000369D9"/>
    <w:rsid w:val="00037429"/>
    <w:rsid w:val="000434C6"/>
    <w:rsid w:val="00044B7A"/>
    <w:rsid w:val="000507FA"/>
    <w:rsid w:val="00050D8C"/>
    <w:rsid w:val="00051D15"/>
    <w:rsid w:val="00054EEE"/>
    <w:rsid w:val="00060DFA"/>
    <w:rsid w:val="00064333"/>
    <w:rsid w:val="00064E57"/>
    <w:rsid w:val="000671F4"/>
    <w:rsid w:val="00070F49"/>
    <w:rsid w:val="0007156E"/>
    <w:rsid w:val="000764C3"/>
    <w:rsid w:val="00082408"/>
    <w:rsid w:val="00084C5D"/>
    <w:rsid w:val="00087F94"/>
    <w:rsid w:val="00095674"/>
    <w:rsid w:val="000A490B"/>
    <w:rsid w:val="000B677B"/>
    <w:rsid w:val="000E2AAC"/>
    <w:rsid w:val="000E3807"/>
    <w:rsid w:val="000E795D"/>
    <w:rsid w:val="00101EA2"/>
    <w:rsid w:val="00124FA5"/>
    <w:rsid w:val="00125C8C"/>
    <w:rsid w:val="00126188"/>
    <w:rsid w:val="001335CF"/>
    <w:rsid w:val="001368F4"/>
    <w:rsid w:val="001619B6"/>
    <w:rsid w:val="00161C50"/>
    <w:rsid w:val="001631B1"/>
    <w:rsid w:val="00177222"/>
    <w:rsid w:val="001903B0"/>
    <w:rsid w:val="001B5730"/>
    <w:rsid w:val="001C165F"/>
    <w:rsid w:val="001C235A"/>
    <w:rsid w:val="001C4707"/>
    <w:rsid w:val="001D0405"/>
    <w:rsid w:val="001D4B82"/>
    <w:rsid w:val="001E4E44"/>
    <w:rsid w:val="001E6FB1"/>
    <w:rsid w:val="001E7562"/>
    <w:rsid w:val="001F0293"/>
    <w:rsid w:val="001F3BAD"/>
    <w:rsid w:val="002032FC"/>
    <w:rsid w:val="002051AC"/>
    <w:rsid w:val="00207506"/>
    <w:rsid w:val="002114BE"/>
    <w:rsid w:val="00224E96"/>
    <w:rsid w:val="00246976"/>
    <w:rsid w:val="00266A7C"/>
    <w:rsid w:val="00272D61"/>
    <w:rsid w:val="00287610"/>
    <w:rsid w:val="002878A7"/>
    <w:rsid w:val="00294DFB"/>
    <w:rsid w:val="002B1A65"/>
    <w:rsid w:val="002B291C"/>
    <w:rsid w:val="002C32E2"/>
    <w:rsid w:val="002C3AF3"/>
    <w:rsid w:val="002C5387"/>
    <w:rsid w:val="002D6A43"/>
    <w:rsid w:val="002E2215"/>
    <w:rsid w:val="002F1340"/>
    <w:rsid w:val="002F33C4"/>
    <w:rsid w:val="002F4948"/>
    <w:rsid w:val="002F5CBD"/>
    <w:rsid w:val="002F6DC2"/>
    <w:rsid w:val="002F6FD5"/>
    <w:rsid w:val="0030115C"/>
    <w:rsid w:val="003051B5"/>
    <w:rsid w:val="003127EC"/>
    <w:rsid w:val="00313A26"/>
    <w:rsid w:val="00316757"/>
    <w:rsid w:val="00332636"/>
    <w:rsid w:val="00335DCA"/>
    <w:rsid w:val="00342251"/>
    <w:rsid w:val="00343F60"/>
    <w:rsid w:val="00347210"/>
    <w:rsid w:val="00352F3F"/>
    <w:rsid w:val="003A1724"/>
    <w:rsid w:val="003A3C4B"/>
    <w:rsid w:val="003A4934"/>
    <w:rsid w:val="003A6877"/>
    <w:rsid w:val="003B5E5C"/>
    <w:rsid w:val="003C13ED"/>
    <w:rsid w:val="003C3E72"/>
    <w:rsid w:val="003D1D39"/>
    <w:rsid w:val="003D4987"/>
    <w:rsid w:val="003D500E"/>
    <w:rsid w:val="003E399E"/>
    <w:rsid w:val="003F26EB"/>
    <w:rsid w:val="004015D4"/>
    <w:rsid w:val="00404524"/>
    <w:rsid w:val="00412966"/>
    <w:rsid w:val="004166FA"/>
    <w:rsid w:val="00421FBB"/>
    <w:rsid w:val="00432414"/>
    <w:rsid w:val="004417CE"/>
    <w:rsid w:val="00455164"/>
    <w:rsid w:val="004617FD"/>
    <w:rsid w:val="00481530"/>
    <w:rsid w:val="004A27BC"/>
    <w:rsid w:val="004B6940"/>
    <w:rsid w:val="004C3D35"/>
    <w:rsid w:val="004E11B1"/>
    <w:rsid w:val="004F4D81"/>
    <w:rsid w:val="004F792E"/>
    <w:rsid w:val="00501890"/>
    <w:rsid w:val="0050197F"/>
    <w:rsid w:val="00507042"/>
    <w:rsid w:val="0052284A"/>
    <w:rsid w:val="0052751C"/>
    <w:rsid w:val="00527F05"/>
    <w:rsid w:val="005335E5"/>
    <w:rsid w:val="005555B7"/>
    <w:rsid w:val="005636E0"/>
    <w:rsid w:val="00563DEF"/>
    <w:rsid w:val="005700E6"/>
    <w:rsid w:val="005928B0"/>
    <w:rsid w:val="00593D94"/>
    <w:rsid w:val="005950D7"/>
    <w:rsid w:val="005A5697"/>
    <w:rsid w:val="005B06D0"/>
    <w:rsid w:val="005B1790"/>
    <w:rsid w:val="005B1CE9"/>
    <w:rsid w:val="005E015E"/>
    <w:rsid w:val="005E0D94"/>
    <w:rsid w:val="005F0BAA"/>
    <w:rsid w:val="006004F3"/>
    <w:rsid w:val="0061300F"/>
    <w:rsid w:val="0061302E"/>
    <w:rsid w:val="00616B8A"/>
    <w:rsid w:val="00621D2E"/>
    <w:rsid w:val="006227F4"/>
    <w:rsid w:val="00623320"/>
    <w:rsid w:val="006233E1"/>
    <w:rsid w:val="00631267"/>
    <w:rsid w:val="00636AA5"/>
    <w:rsid w:val="00641271"/>
    <w:rsid w:val="006414A6"/>
    <w:rsid w:val="00651E5A"/>
    <w:rsid w:val="006541E0"/>
    <w:rsid w:val="00656B76"/>
    <w:rsid w:val="0065737B"/>
    <w:rsid w:val="0066648F"/>
    <w:rsid w:val="006754DD"/>
    <w:rsid w:val="00692CB8"/>
    <w:rsid w:val="006A782A"/>
    <w:rsid w:val="006B13DA"/>
    <w:rsid w:val="006B1B09"/>
    <w:rsid w:val="006B2315"/>
    <w:rsid w:val="006B45CE"/>
    <w:rsid w:val="006B4A91"/>
    <w:rsid w:val="006B6910"/>
    <w:rsid w:val="006C2D1F"/>
    <w:rsid w:val="006C312B"/>
    <w:rsid w:val="006C6811"/>
    <w:rsid w:val="006D1676"/>
    <w:rsid w:val="006D6459"/>
    <w:rsid w:val="006F5A45"/>
    <w:rsid w:val="007041A1"/>
    <w:rsid w:val="00713C80"/>
    <w:rsid w:val="00721749"/>
    <w:rsid w:val="007310E5"/>
    <w:rsid w:val="00732D11"/>
    <w:rsid w:val="0073774F"/>
    <w:rsid w:val="00740449"/>
    <w:rsid w:val="00745B5F"/>
    <w:rsid w:val="0075445C"/>
    <w:rsid w:val="0076073C"/>
    <w:rsid w:val="00776B0C"/>
    <w:rsid w:val="007946B0"/>
    <w:rsid w:val="00795307"/>
    <w:rsid w:val="007A42EC"/>
    <w:rsid w:val="007A54FF"/>
    <w:rsid w:val="007B4990"/>
    <w:rsid w:val="007C00D5"/>
    <w:rsid w:val="007C1F91"/>
    <w:rsid w:val="007C343C"/>
    <w:rsid w:val="007C655F"/>
    <w:rsid w:val="007D539C"/>
    <w:rsid w:val="007D7D45"/>
    <w:rsid w:val="007E7845"/>
    <w:rsid w:val="008026A0"/>
    <w:rsid w:val="00816C8F"/>
    <w:rsid w:val="00826B51"/>
    <w:rsid w:val="0083455D"/>
    <w:rsid w:val="00861F0B"/>
    <w:rsid w:val="008625FB"/>
    <w:rsid w:val="00866013"/>
    <w:rsid w:val="00885E01"/>
    <w:rsid w:val="00891EE8"/>
    <w:rsid w:val="008A06B7"/>
    <w:rsid w:val="008A12F9"/>
    <w:rsid w:val="008A76CD"/>
    <w:rsid w:val="008B360D"/>
    <w:rsid w:val="008B4652"/>
    <w:rsid w:val="008C75E8"/>
    <w:rsid w:val="008D10ED"/>
    <w:rsid w:val="008D7908"/>
    <w:rsid w:val="008D7D16"/>
    <w:rsid w:val="008E2FF0"/>
    <w:rsid w:val="008E77F9"/>
    <w:rsid w:val="008F3FFE"/>
    <w:rsid w:val="00904DB6"/>
    <w:rsid w:val="00906FA1"/>
    <w:rsid w:val="00912197"/>
    <w:rsid w:val="00913A1A"/>
    <w:rsid w:val="009238FB"/>
    <w:rsid w:val="009477DC"/>
    <w:rsid w:val="009536D8"/>
    <w:rsid w:val="00955454"/>
    <w:rsid w:val="0095561C"/>
    <w:rsid w:val="00955DC4"/>
    <w:rsid w:val="00960BDB"/>
    <w:rsid w:val="00962784"/>
    <w:rsid w:val="0096329B"/>
    <w:rsid w:val="0097194D"/>
    <w:rsid w:val="009752E9"/>
    <w:rsid w:val="00977420"/>
    <w:rsid w:val="0099027E"/>
    <w:rsid w:val="00992A41"/>
    <w:rsid w:val="009A242D"/>
    <w:rsid w:val="009A3EBC"/>
    <w:rsid w:val="009B605A"/>
    <w:rsid w:val="009C18AC"/>
    <w:rsid w:val="009C3379"/>
    <w:rsid w:val="00A06636"/>
    <w:rsid w:val="00A20224"/>
    <w:rsid w:val="00A317FA"/>
    <w:rsid w:val="00A369A9"/>
    <w:rsid w:val="00A4773A"/>
    <w:rsid w:val="00A50776"/>
    <w:rsid w:val="00A563BC"/>
    <w:rsid w:val="00A56BD4"/>
    <w:rsid w:val="00A750F9"/>
    <w:rsid w:val="00A80442"/>
    <w:rsid w:val="00A87F63"/>
    <w:rsid w:val="00A9108C"/>
    <w:rsid w:val="00AA1DF6"/>
    <w:rsid w:val="00AA36C5"/>
    <w:rsid w:val="00AC6182"/>
    <w:rsid w:val="00AD2992"/>
    <w:rsid w:val="00AD7080"/>
    <w:rsid w:val="00AE01A3"/>
    <w:rsid w:val="00AE3517"/>
    <w:rsid w:val="00AF4CB2"/>
    <w:rsid w:val="00B10348"/>
    <w:rsid w:val="00B10A2A"/>
    <w:rsid w:val="00B12308"/>
    <w:rsid w:val="00B13505"/>
    <w:rsid w:val="00B152B7"/>
    <w:rsid w:val="00B253D1"/>
    <w:rsid w:val="00B25554"/>
    <w:rsid w:val="00B3338B"/>
    <w:rsid w:val="00B35C9C"/>
    <w:rsid w:val="00B575AF"/>
    <w:rsid w:val="00B64F0E"/>
    <w:rsid w:val="00B65460"/>
    <w:rsid w:val="00B656C4"/>
    <w:rsid w:val="00B66D7C"/>
    <w:rsid w:val="00B90010"/>
    <w:rsid w:val="00B96BB6"/>
    <w:rsid w:val="00BA03AD"/>
    <w:rsid w:val="00BC4BBB"/>
    <w:rsid w:val="00BD7901"/>
    <w:rsid w:val="00BE0431"/>
    <w:rsid w:val="00BE7AC6"/>
    <w:rsid w:val="00BF0EF1"/>
    <w:rsid w:val="00BF2ECD"/>
    <w:rsid w:val="00BF54FF"/>
    <w:rsid w:val="00C061F6"/>
    <w:rsid w:val="00C11467"/>
    <w:rsid w:val="00C11DBC"/>
    <w:rsid w:val="00C21159"/>
    <w:rsid w:val="00C2610B"/>
    <w:rsid w:val="00C321FA"/>
    <w:rsid w:val="00C335E9"/>
    <w:rsid w:val="00C37A23"/>
    <w:rsid w:val="00C5077D"/>
    <w:rsid w:val="00C515E8"/>
    <w:rsid w:val="00C55AA9"/>
    <w:rsid w:val="00C578DC"/>
    <w:rsid w:val="00C57B6A"/>
    <w:rsid w:val="00C61E56"/>
    <w:rsid w:val="00C64E83"/>
    <w:rsid w:val="00C67654"/>
    <w:rsid w:val="00C800AF"/>
    <w:rsid w:val="00C937A0"/>
    <w:rsid w:val="00CA5962"/>
    <w:rsid w:val="00CA5E22"/>
    <w:rsid w:val="00CC2A94"/>
    <w:rsid w:val="00CC6A06"/>
    <w:rsid w:val="00CD0630"/>
    <w:rsid w:val="00CE161A"/>
    <w:rsid w:val="00CE38B0"/>
    <w:rsid w:val="00CF157C"/>
    <w:rsid w:val="00D0021B"/>
    <w:rsid w:val="00D060E9"/>
    <w:rsid w:val="00D061EC"/>
    <w:rsid w:val="00D11AE5"/>
    <w:rsid w:val="00D12713"/>
    <w:rsid w:val="00D14999"/>
    <w:rsid w:val="00D16DF3"/>
    <w:rsid w:val="00D20476"/>
    <w:rsid w:val="00D348AE"/>
    <w:rsid w:val="00D36CEC"/>
    <w:rsid w:val="00D37022"/>
    <w:rsid w:val="00D40D5F"/>
    <w:rsid w:val="00D479B2"/>
    <w:rsid w:val="00D51495"/>
    <w:rsid w:val="00D516F9"/>
    <w:rsid w:val="00D6642E"/>
    <w:rsid w:val="00D706DA"/>
    <w:rsid w:val="00D94A43"/>
    <w:rsid w:val="00DA6BAB"/>
    <w:rsid w:val="00DB4349"/>
    <w:rsid w:val="00DD1465"/>
    <w:rsid w:val="00DD3A5B"/>
    <w:rsid w:val="00DD5D73"/>
    <w:rsid w:val="00DE0D68"/>
    <w:rsid w:val="00DE24A1"/>
    <w:rsid w:val="00DE2FB4"/>
    <w:rsid w:val="00E06561"/>
    <w:rsid w:val="00E153C6"/>
    <w:rsid w:val="00E1723F"/>
    <w:rsid w:val="00E2700A"/>
    <w:rsid w:val="00E313D8"/>
    <w:rsid w:val="00E35CC1"/>
    <w:rsid w:val="00E360F6"/>
    <w:rsid w:val="00E47DB7"/>
    <w:rsid w:val="00E50EF5"/>
    <w:rsid w:val="00E52836"/>
    <w:rsid w:val="00E54250"/>
    <w:rsid w:val="00E62DAF"/>
    <w:rsid w:val="00E927F8"/>
    <w:rsid w:val="00E92E43"/>
    <w:rsid w:val="00E97E71"/>
    <w:rsid w:val="00EA34E8"/>
    <w:rsid w:val="00EA46D7"/>
    <w:rsid w:val="00EC5C5A"/>
    <w:rsid w:val="00ED0055"/>
    <w:rsid w:val="00ED2FD9"/>
    <w:rsid w:val="00EF138E"/>
    <w:rsid w:val="00EF74FD"/>
    <w:rsid w:val="00F16E07"/>
    <w:rsid w:val="00F2365C"/>
    <w:rsid w:val="00F57B5A"/>
    <w:rsid w:val="00F605B9"/>
    <w:rsid w:val="00F60665"/>
    <w:rsid w:val="00F65A6F"/>
    <w:rsid w:val="00F77490"/>
    <w:rsid w:val="00F84CFA"/>
    <w:rsid w:val="00F964CD"/>
    <w:rsid w:val="00F967B2"/>
    <w:rsid w:val="00FA1CAB"/>
    <w:rsid w:val="00FA54C0"/>
    <w:rsid w:val="00FD1980"/>
    <w:rsid w:val="00FE0712"/>
    <w:rsid w:val="01A21D3D"/>
    <w:rsid w:val="01B20EB9"/>
    <w:rsid w:val="01E50D53"/>
    <w:rsid w:val="01F821BD"/>
    <w:rsid w:val="02066364"/>
    <w:rsid w:val="02815CE9"/>
    <w:rsid w:val="03134C0F"/>
    <w:rsid w:val="032D4E3E"/>
    <w:rsid w:val="04012B21"/>
    <w:rsid w:val="048F7171"/>
    <w:rsid w:val="07312958"/>
    <w:rsid w:val="073B5BC9"/>
    <w:rsid w:val="07BE292C"/>
    <w:rsid w:val="07C65CA5"/>
    <w:rsid w:val="084C69BC"/>
    <w:rsid w:val="08514037"/>
    <w:rsid w:val="08CA2A7A"/>
    <w:rsid w:val="096251C7"/>
    <w:rsid w:val="0AD705E9"/>
    <w:rsid w:val="0AF50259"/>
    <w:rsid w:val="0B9C5BD8"/>
    <w:rsid w:val="0D8E4A70"/>
    <w:rsid w:val="0E470635"/>
    <w:rsid w:val="0EBC6E9B"/>
    <w:rsid w:val="0EE14124"/>
    <w:rsid w:val="0FDA2FF1"/>
    <w:rsid w:val="10C85995"/>
    <w:rsid w:val="11162CD7"/>
    <w:rsid w:val="11DD5B0E"/>
    <w:rsid w:val="11F04FB0"/>
    <w:rsid w:val="11FD41AB"/>
    <w:rsid w:val="136F6B4F"/>
    <w:rsid w:val="13F76D41"/>
    <w:rsid w:val="15337B56"/>
    <w:rsid w:val="19857952"/>
    <w:rsid w:val="1A7D7C74"/>
    <w:rsid w:val="1DD957B9"/>
    <w:rsid w:val="1E79312C"/>
    <w:rsid w:val="1F2305F5"/>
    <w:rsid w:val="20967991"/>
    <w:rsid w:val="213B1B76"/>
    <w:rsid w:val="21574856"/>
    <w:rsid w:val="215D435A"/>
    <w:rsid w:val="21A32B39"/>
    <w:rsid w:val="22237597"/>
    <w:rsid w:val="230A0721"/>
    <w:rsid w:val="23C35C66"/>
    <w:rsid w:val="24100647"/>
    <w:rsid w:val="24BC60E2"/>
    <w:rsid w:val="251B37E1"/>
    <w:rsid w:val="2615746A"/>
    <w:rsid w:val="26401ABD"/>
    <w:rsid w:val="264E6834"/>
    <w:rsid w:val="29173A50"/>
    <w:rsid w:val="29A05578"/>
    <w:rsid w:val="2AAC23F9"/>
    <w:rsid w:val="2B0D2CE4"/>
    <w:rsid w:val="2B693673"/>
    <w:rsid w:val="2C422599"/>
    <w:rsid w:val="2CCD15FB"/>
    <w:rsid w:val="2FB04883"/>
    <w:rsid w:val="309B0366"/>
    <w:rsid w:val="30FC41DF"/>
    <w:rsid w:val="343369E1"/>
    <w:rsid w:val="36372CA9"/>
    <w:rsid w:val="36C409BE"/>
    <w:rsid w:val="373D751E"/>
    <w:rsid w:val="381C2D1C"/>
    <w:rsid w:val="39E2569B"/>
    <w:rsid w:val="3A8D0F72"/>
    <w:rsid w:val="3A960DE3"/>
    <w:rsid w:val="3A9D4FCC"/>
    <w:rsid w:val="3BD46640"/>
    <w:rsid w:val="3C35413D"/>
    <w:rsid w:val="3C6F4907"/>
    <w:rsid w:val="3CF573AA"/>
    <w:rsid w:val="3D624079"/>
    <w:rsid w:val="3D631834"/>
    <w:rsid w:val="3EB91CF7"/>
    <w:rsid w:val="3F946AA7"/>
    <w:rsid w:val="3F9B1851"/>
    <w:rsid w:val="3FC47117"/>
    <w:rsid w:val="3FFBD36B"/>
    <w:rsid w:val="40570A70"/>
    <w:rsid w:val="40F46B66"/>
    <w:rsid w:val="41076FBE"/>
    <w:rsid w:val="41084786"/>
    <w:rsid w:val="41110C42"/>
    <w:rsid w:val="41212946"/>
    <w:rsid w:val="41295BE0"/>
    <w:rsid w:val="41D45DF6"/>
    <w:rsid w:val="42275509"/>
    <w:rsid w:val="42823823"/>
    <w:rsid w:val="42D1600F"/>
    <w:rsid w:val="439C5700"/>
    <w:rsid w:val="44205485"/>
    <w:rsid w:val="45987F90"/>
    <w:rsid w:val="460F40D4"/>
    <w:rsid w:val="4611224F"/>
    <w:rsid w:val="4611554A"/>
    <w:rsid w:val="48695B04"/>
    <w:rsid w:val="49461F7F"/>
    <w:rsid w:val="499F1D78"/>
    <w:rsid w:val="4A2758B7"/>
    <w:rsid w:val="4A983129"/>
    <w:rsid w:val="4B376E07"/>
    <w:rsid w:val="4D556624"/>
    <w:rsid w:val="4EB26519"/>
    <w:rsid w:val="4F020FAD"/>
    <w:rsid w:val="4F095C75"/>
    <w:rsid w:val="50E43F8B"/>
    <w:rsid w:val="51F33A5F"/>
    <w:rsid w:val="524C7FC2"/>
    <w:rsid w:val="52E00474"/>
    <w:rsid w:val="53202F13"/>
    <w:rsid w:val="53932575"/>
    <w:rsid w:val="54120B01"/>
    <w:rsid w:val="543371DD"/>
    <w:rsid w:val="546F68B3"/>
    <w:rsid w:val="54FB7285"/>
    <w:rsid w:val="55800C5A"/>
    <w:rsid w:val="55845605"/>
    <w:rsid w:val="565D3A9C"/>
    <w:rsid w:val="57823100"/>
    <w:rsid w:val="57BB00D1"/>
    <w:rsid w:val="57C86637"/>
    <w:rsid w:val="58FF2EFF"/>
    <w:rsid w:val="5919171F"/>
    <w:rsid w:val="59531228"/>
    <w:rsid w:val="5BA66D99"/>
    <w:rsid w:val="5C7436E9"/>
    <w:rsid w:val="5C8255FD"/>
    <w:rsid w:val="5CEE2784"/>
    <w:rsid w:val="5D0E2A44"/>
    <w:rsid w:val="5DBE1494"/>
    <w:rsid w:val="5EAF52F7"/>
    <w:rsid w:val="5EFC0458"/>
    <w:rsid w:val="5F7B6833"/>
    <w:rsid w:val="5FE3F82D"/>
    <w:rsid w:val="5FFD5624"/>
    <w:rsid w:val="611F29C3"/>
    <w:rsid w:val="61AD670E"/>
    <w:rsid w:val="620A112B"/>
    <w:rsid w:val="64787502"/>
    <w:rsid w:val="655C29BA"/>
    <w:rsid w:val="66534921"/>
    <w:rsid w:val="67253B4D"/>
    <w:rsid w:val="676705B3"/>
    <w:rsid w:val="67DC6589"/>
    <w:rsid w:val="68B22361"/>
    <w:rsid w:val="68F829FB"/>
    <w:rsid w:val="69D24BFB"/>
    <w:rsid w:val="6BE74894"/>
    <w:rsid w:val="6D41173A"/>
    <w:rsid w:val="6D657C9B"/>
    <w:rsid w:val="6EEE5B5B"/>
    <w:rsid w:val="6F2BFEC0"/>
    <w:rsid w:val="6F6946EC"/>
    <w:rsid w:val="6F8D7841"/>
    <w:rsid w:val="6F92035A"/>
    <w:rsid w:val="70182BA3"/>
    <w:rsid w:val="73733853"/>
    <w:rsid w:val="73A8198C"/>
    <w:rsid w:val="73E55BF9"/>
    <w:rsid w:val="757F06CF"/>
    <w:rsid w:val="75865A4D"/>
    <w:rsid w:val="75B740CF"/>
    <w:rsid w:val="7636144B"/>
    <w:rsid w:val="76FF27BE"/>
    <w:rsid w:val="77E729E4"/>
    <w:rsid w:val="780E64E4"/>
    <w:rsid w:val="78624636"/>
    <w:rsid w:val="78852C26"/>
    <w:rsid w:val="794B6266"/>
    <w:rsid w:val="799A21AD"/>
    <w:rsid w:val="7A227FFF"/>
    <w:rsid w:val="7AC13A71"/>
    <w:rsid w:val="7B255AC8"/>
    <w:rsid w:val="7B87500D"/>
    <w:rsid w:val="7CDF41F3"/>
    <w:rsid w:val="7D5B007A"/>
    <w:rsid w:val="7D6864F7"/>
    <w:rsid w:val="7E0457F8"/>
    <w:rsid w:val="7E717EAD"/>
    <w:rsid w:val="7EA126C9"/>
    <w:rsid w:val="7EFD57C1"/>
    <w:rsid w:val="7F2351A1"/>
    <w:rsid w:val="7F93D619"/>
    <w:rsid w:val="7FE01AFA"/>
    <w:rsid w:val="8BFFE455"/>
    <w:rsid w:val="A4B35309"/>
    <w:rsid w:val="BEBE0E25"/>
    <w:rsid w:val="E5FB001E"/>
    <w:rsid w:val="EF5F0041"/>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1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4"/>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6"/>
    <w:autoRedefine/>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7"/>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8"/>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23"/>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1"/>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5"/>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21"/>
    <w:autoRedefine/>
    <w:semiHidden/>
    <w:unhideWhenUsed/>
    <w:qFormat/>
    <w:uiPriority w:val="99"/>
  </w:style>
  <w:style w:type="paragraph" w:styleId="20">
    <w:name w:val="List Number"/>
    <w:basedOn w:val="1"/>
    <w:autoRedefine/>
    <w:semiHidden/>
    <w:unhideWhenUsed/>
    <w:qFormat/>
    <w:uiPriority w:val="99"/>
    <w:pPr>
      <w:numPr>
        <w:ilvl w:val="0"/>
        <w:numId w:val="3"/>
      </w:numPr>
      <w:contextualSpacing/>
    </w:pPr>
  </w:style>
  <w:style w:type="paragraph" w:styleId="21">
    <w:name w:val="Normal Indent"/>
    <w:basedOn w:val="1"/>
    <w:autoRedefine/>
    <w:semiHidden/>
    <w:unhideWhenUsed/>
    <w:qFormat/>
    <w:uiPriority w:val="99"/>
    <w:pPr>
      <w:ind w:firstLine="420" w:firstLineChars="20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4"/>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2"/>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9"/>
    <w:autoRedefine/>
    <w:unhideWhenUsed/>
    <w:qFormat/>
    <w:uiPriority w:val="0"/>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9"/>
    <w:autoRedefine/>
    <w:semiHidden/>
    <w:unhideWhenUsed/>
    <w:qFormat/>
    <w:uiPriority w:val="99"/>
  </w:style>
  <w:style w:type="paragraph" w:styleId="31">
    <w:name w:val="Body Text 3"/>
    <w:basedOn w:val="1"/>
    <w:link w:val="138"/>
    <w:autoRedefine/>
    <w:semiHidden/>
    <w:unhideWhenUsed/>
    <w:qFormat/>
    <w:uiPriority w:val="99"/>
    <w:pPr>
      <w:spacing w:after="120"/>
    </w:pPr>
    <w:rPr>
      <w:sz w:val="16"/>
      <w:szCs w:val="16"/>
    </w:rPr>
  </w:style>
  <w:style w:type="paragraph" w:styleId="32">
    <w:name w:val="Closing"/>
    <w:basedOn w:val="1"/>
    <w:link w:val="125"/>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5"/>
      </w:numPr>
      <w:contextualSpacing/>
    </w:pPr>
  </w:style>
  <w:style w:type="paragraph" w:styleId="34">
    <w:name w:val="Body Text"/>
    <w:basedOn w:val="1"/>
    <w:link w:val="139"/>
    <w:autoRedefine/>
    <w:semiHidden/>
    <w:qFormat/>
    <w:uiPriority w:val="0"/>
    <w:rPr>
      <w:rFonts w:ascii="宋体" w:hAnsi="宋体" w:cs="宋体"/>
      <w:sz w:val="35"/>
      <w:szCs w:val="35"/>
      <w:lang w:eastAsia="en-US"/>
    </w:rPr>
  </w:style>
  <w:style w:type="paragraph" w:styleId="35">
    <w:name w:val="Body Text Indent"/>
    <w:basedOn w:val="1"/>
    <w:link w:val="141"/>
    <w:autoRedefine/>
    <w:semiHidden/>
    <w:unhideWhenUsed/>
    <w:qFormat/>
    <w:uiPriority w:val="99"/>
    <w:pPr>
      <w:spacing w:after="120"/>
      <w:ind w:left="420" w:leftChars="200"/>
    </w:pPr>
  </w:style>
  <w:style w:type="paragraph" w:styleId="36">
    <w:name w:val="List Number 3"/>
    <w:basedOn w:val="1"/>
    <w:autoRedefine/>
    <w:semiHidden/>
    <w:unhideWhenUsed/>
    <w:qFormat/>
    <w:uiPriority w:val="99"/>
    <w:pPr>
      <w:numPr>
        <w:ilvl w:val="0"/>
        <w:numId w:val="6"/>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7"/>
      </w:numPr>
      <w:contextualSpacing/>
    </w:pPr>
  </w:style>
  <w:style w:type="paragraph" w:styleId="41">
    <w:name w:val="HTML Address"/>
    <w:basedOn w:val="1"/>
    <w:link w:val="106"/>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20"/>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8"/>
      </w:numPr>
      <w:contextualSpacing/>
    </w:pPr>
  </w:style>
  <w:style w:type="paragraph" w:styleId="47">
    <w:name w:val="List Number 4"/>
    <w:basedOn w:val="1"/>
    <w:autoRedefine/>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9"/>
    <w:autoRedefine/>
    <w:semiHidden/>
    <w:unhideWhenUsed/>
    <w:qFormat/>
    <w:uiPriority w:val="99"/>
    <w:pPr>
      <w:ind w:left="100" w:leftChars="2500"/>
    </w:pPr>
  </w:style>
  <w:style w:type="paragraph" w:styleId="51">
    <w:name w:val="Body Text Indent 2"/>
    <w:basedOn w:val="1"/>
    <w:link w:val="143"/>
    <w:autoRedefine/>
    <w:semiHidden/>
    <w:unhideWhenUsed/>
    <w:qFormat/>
    <w:uiPriority w:val="99"/>
    <w:pPr>
      <w:spacing w:after="120" w:line="480" w:lineRule="auto"/>
      <w:ind w:left="420" w:leftChars="200"/>
    </w:pPr>
  </w:style>
  <w:style w:type="paragraph" w:styleId="52">
    <w:name w:val="endnote text"/>
    <w:basedOn w:val="1"/>
    <w:link w:val="131"/>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96"/>
    <w:autoRedefine/>
    <w:unhideWhenUsed/>
    <w:qFormat/>
    <w:uiPriority w:val="99"/>
    <w:rPr>
      <w:sz w:val="18"/>
      <w:szCs w:val="18"/>
    </w:rPr>
  </w:style>
  <w:style w:type="paragraph" w:styleId="55">
    <w:name w:val="footer"/>
    <w:basedOn w:val="1"/>
    <w:link w:val="93"/>
    <w:autoRedefine/>
    <w:unhideWhenUsed/>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9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8"/>
    <w:autoRedefine/>
    <w:semiHidden/>
    <w:unhideWhenUsed/>
    <w:qFormat/>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22"/>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0"/>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24"/>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4"/>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7"/>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4"/>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7"/>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0"/>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00"/>
    <w:autoRedefine/>
    <w:semiHidden/>
    <w:unhideWhenUsed/>
    <w:qFormat/>
    <w:uiPriority w:val="99"/>
    <w:rPr>
      <w:b/>
      <w:bCs/>
    </w:rPr>
  </w:style>
  <w:style w:type="paragraph" w:styleId="86">
    <w:name w:val="Body Text First Indent"/>
    <w:basedOn w:val="34"/>
    <w:link w:val="140"/>
    <w:autoRedefine/>
    <w:semiHidden/>
    <w:unhideWhenUsed/>
    <w:qFormat/>
    <w:uiPriority w:val="99"/>
    <w:pPr>
      <w:spacing w:after="120"/>
      <w:ind w:firstLine="420" w:firstLineChars="100"/>
    </w:pPr>
    <w:rPr>
      <w:rFonts w:ascii="Calibri" w:hAnsi="Calibri" w:cs="Times New Roman"/>
      <w:sz w:val="21"/>
      <w:szCs w:val="22"/>
      <w:lang w:eastAsia="zh-CN"/>
    </w:rPr>
  </w:style>
  <w:style w:type="paragraph" w:styleId="87">
    <w:name w:val="Body Text First Indent 2"/>
    <w:basedOn w:val="35"/>
    <w:link w:val="142"/>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autoRedefine/>
    <w:semiHidden/>
    <w:unhideWhenUsed/>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脚 字符"/>
    <w:basedOn w:val="90"/>
    <w:link w:val="55"/>
    <w:autoRedefine/>
    <w:qFormat/>
    <w:uiPriority w:val="99"/>
    <w:rPr>
      <w:rFonts w:ascii="Calibri" w:hAnsi="Calibri" w:eastAsia="宋体" w:cs="Times New Roman"/>
      <w:sz w:val="18"/>
      <w:szCs w:val="18"/>
    </w:rPr>
  </w:style>
  <w:style w:type="paragraph" w:customStyle="1" w:styleId="94">
    <w:name w:val="列出段落1"/>
    <w:basedOn w:val="1"/>
    <w:autoRedefine/>
    <w:qFormat/>
    <w:uiPriority w:val="34"/>
    <w:pPr>
      <w:numPr>
        <w:ilvl w:val="0"/>
        <w:numId w:val="11"/>
      </w:numPr>
      <w:adjustRightInd w:val="0"/>
      <w:snapToGrid w:val="0"/>
      <w:spacing w:line="560" w:lineRule="exact"/>
    </w:pPr>
  </w:style>
  <w:style w:type="character" w:customStyle="1" w:styleId="95">
    <w:name w:val="页眉 字符"/>
    <w:basedOn w:val="90"/>
    <w:link w:val="57"/>
    <w:autoRedefine/>
    <w:semiHidden/>
    <w:qFormat/>
    <w:uiPriority w:val="99"/>
    <w:rPr>
      <w:rFonts w:ascii="Calibri" w:hAnsi="Calibri" w:eastAsia="宋体" w:cs="Times New Roman"/>
      <w:sz w:val="18"/>
      <w:szCs w:val="18"/>
    </w:rPr>
  </w:style>
  <w:style w:type="character" w:customStyle="1" w:styleId="96">
    <w:name w:val="批注框文本 字符"/>
    <w:basedOn w:val="90"/>
    <w:link w:val="54"/>
    <w:autoRedefine/>
    <w:semiHidden/>
    <w:qFormat/>
    <w:uiPriority w:val="99"/>
    <w:rPr>
      <w:rFonts w:ascii="Calibri" w:hAnsi="Calibri" w:eastAsia="宋体" w:cs="Times New Roman"/>
      <w:sz w:val="18"/>
      <w:szCs w:val="18"/>
    </w:rPr>
  </w:style>
  <w:style w:type="paragraph" w:customStyle="1" w:styleId="97">
    <w:name w:val="修订1"/>
    <w:autoRedefine/>
    <w:hidden/>
    <w:semiHidden/>
    <w:qFormat/>
    <w:uiPriority w:val="99"/>
    <w:rPr>
      <w:rFonts w:ascii="Calibri" w:hAnsi="Calibri" w:eastAsia="宋体" w:cs="Times New Roman"/>
      <w:kern w:val="2"/>
      <w:sz w:val="21"/>
      <w:szCs w:val="22"/>
      <w:lang w:val="en-US" w:eastAsia="zh-CN" w:bidi="ar-SA"/>
    </w:rPr>
  </w:style>
  <w:style w:type="paragraph" w:styleId="98">
    <w:name w:val="List Paragraph"/>
    <w:basedOn w:val="1"/>
    <w:autoRedefine/>
    <w:qFormat/>
    <w:uiPriority w:val="99"/>
    <w:pPr>
      <w:ind w:firstLine="420" w:firstLineChars="200"/>
    </w:pPr>
  </w:style>
  <w:style w:type="character" w:customStyle="1" w:styleId="99">
    <w:name w:val="批注文字 字符"/>
    <w:basedOn w:val="90"/>
    <w:link w:val="28"/>
    <w:autoRedefine/>
    <w:qFormat/>
    <w:uiPriority w:val="0"/>
    <w:rPr>
      <w:rFonts w:ascii="Calibri" w:hAnsi="Calibri"/>
      <w:kern w:val="2"/>
      <w:sz w:val="21"/>
      <w:szCs w:val="22"/>
    </w:rPr>
  </w:style>
  <w:style w:type="character" w:customStyle="1" w:styleId="100">
    <w:name w:val="批注主题 字符"/>
    <w:basedOn w:val="99"/>
    <w:link w:val="85"/>
    <w:autoRedefine/>
    <w:qFormat/>
    <w:uiPriority w:val="0"/>
    <w:rPr>
      <w:rFonts w:ascii="Calibri" w:hAnsi="Calibri" w:eastAsia="宋体" w:cs="Times New Roman"/>
      <w:kern w:val="2"/>
      <w:sz w:val="21"/>
      <w:szCs w:val="22"/>
    </w:rPr>
  </w:style>
  <w:style w:type="paragraph" w:customStyle="1" w:styleId="10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0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0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04">
    <w:name w:val="Table Normal"/>
    <w:autoRedefine/>
    <w:semiHidden/>
    <w:unhideWhenUsed/>
    <w:qFormat/>
    <w:uiPriority w:val="0"/>
    <w:tblPr>
      <w:tblCellMar>
        <w:top w:w="0" w:type="dxa"/>
        <w:left w:w="0" w:type="dxa"/>
        <w:bottom w:w="0" w:type="dxa"/>
        <w:right w:w="0" w:type="dxa"/>
      </w:tblCellMar>
    </w:tblPr>
  </w:style>
  <w:style w:type="paragraph" w:customStyle="1" w:styleId="105">
    <w:name w:val="Table Text"/>
    <w:basedOn w:val="1"/>
    <w:autoRedefine/>
    <w:semiHidden/>
    <w:qFormat/>
    <w:uiPriority w:val="0"/>
    <w:pPr>
      <w:spacing w:before="64" w:line="284" w:lineRule="auto"/>
      <w:ind w:left="18" w:right="30" w:hanging="7"/>
      <w:jc w:val="left"/>
    </w:pPr>
    <w:rPr>
      <w:rFonts w:ascii="Times New Roman" w:hAnsi="Times New Roman" w:eastAsia="Times New Roman"/>
      <w:sz w:val="24"/>
      <w:szCs w:val="24"/>
      <w:lang w:eastAsia="en-US"/>
    </w:rPr>
  </w:style>
  <w:style w:type="character" w:customStyle="1" w:styleId="106">
    <w:name w:val="HTML 地址 字符"/>
    <w:basedOn w:val="90"/>
    <w:link w:val="41"/>
    <w:autoRedefine/>
    <w:semiHidden/>
    <w:qFormat/>
    <w:uiPriority w:val="99"/>
    <w:rPr>
      <w:rFonts w:ascii="Calibri" w:hAnsi="Calibri"/>
      <w:i/>
      <w:iCs/>
      <w:kern w:val="2"/>
      <w:sz w:val="21"/>
      <w:szCs w:val="22"/>
    </w:rPr>
  </w:style>
  <w:style w:type="character" w:customStyle="1" w:styleId="107">
    <w:name w:val="HTML 预设格式 字符"/>
    <w:basedOn w:val="90"/>
    <w:link w:val="80"/>
    <w:autoRedefine/>
    <w:semiHidden/>
    <w:qFormat/>
    <w:uiPriority w:val="99"/>
    <w:rPr>
      <w:rFonts w:ascii="Courier New" w:hAnsi="Courier New" w:cs="Courier New"/>
      <w:kern w:val="2"/>
    </w:rPr>
  </w:style>
  <w:style w:type="character" w:customStyle="1" w:styleId="108">
    <w:name w:val="标题 1 字符"/>
    <w:basedOn w:val="90"/>
    <w:link w:val="3"/>
    <w:autoRedefine/>
    <w:qFormat/>
    <w:uiPriority w:val="9"/>
    <w:rPr>
      <w:rFonts w:ascii="Calibri" w:hAnsi="Calibri"/>
      <w:b/>
      <w:bCs/>
      <w:kern w:val="44"/>
      <w:sz w:val="44"/>
      <w:szCs w:val="44"/>
    </w:rPr>
  </w:style>
  <w:style w:type="paragraph" w:customStyle="1" w:styleId="109">
    <w:name w:val="TOC 标题1"/>
    <w:basedOn w:val="3"/>
    <w:next w:val="1"/>
    <w:autoRedefine/>
    <w:semiHidden/>
    <w:unhideWhenUsed/>
    <w:qFormat/>
    <w:uiPriority w:val="39"/>
    <w:pPr>
      <w:outlineLvl w:val="9"/>
    </w:pPr>
  </w:style>
  <w:style w:type="character" w:customStyle="1" w:styleId="110">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11">
    <w:name w:val="标题 2 字符"/>
    <w:basedOn w:val="90"/>
    <w:link w:val="4"/>
    <w:autoRedefine/>
    <w:semiHidden/>
    <w:qFormat/>
    <w:uiPriority w:val="9"/>
    <w:rPr>
      <w:rFonts w:asciiTheme="majorHAnsi" w:hAnsiTheme="majorHAnsi" w:eastAsiaTheme="majorEastAsia" w:cstheme="majorBidi"/>
      <w:b/>
      <w:bCs/>
      <w:kern w:val="2"/>
      <w:sz w:val="32"/>
      <w:szCs w:val="32"/>
    </w:rPr>
  </w:style>
  <w:style w:type="character" w:customStyle="1" w:styleId="112">
    <w:name w:val="标题 3 字符"/>
    <w:basedOn w:val="90"/>
    <w:link w:val="5"/>
    <w:autoRedefine/>
    <w:semiHidden/>
    <w:qFormat/>
    <w:uiPriority w:val="9"/>
    <w:rPr>
      <w:rFonts w:ascii="Calibri" w:hAnsi="Calibri"/>
      <w:b/>
      <w:bCs/>
      <w:kern w:val="2"/>
      <w:sz w:val="32"/>
      <w:szCs w:val="32"/>
    </w:rPr>
  </w:style>
  <w:style w:type="character" w:customStyle="1" w:styleId="113">
    <w:name w:val="标题 4 字符"/>
    <w:basedOn w:val="90"/>
    <w:link w:val="6"/>
    <w:autoRedefine/>
    <w:semiHidden/>
    <w:qFormat/>
    <w:uiPriority w:val="9"/>
    <w:rPr>
      <w:rFonts w:asciiTheme="majorHAnsi" w:hAnsiTheme="majorHAnsi" w:eastAsiaTheme="majorEastAsia" w:cstheme="majorBidi"/>
      <w:b/>
      <w:bCs/>
      <w:kern w:val="2"/>
      <w:sz w:val="28"/>
      <w:szCs w:val="28"/>
    </w:rPr>
  </w:style>
  <w:style w:type="character" w:customStyle="1" w:styleId="114">
    <w:name w:val="标题 5 字符"/>
    <w:basedOn w:val="90"/>
    <w:link w:val="7"/>
    <w:autoRedefine/>
    <w:semiHidden/>
    <w:qFormat/>
    <w:uiPriority w:val="9"/>
    <w:rPr>
      <w:rFonts w:ascii="Calibri" w:hAnsi="Calibri"/>
      <w:b/>
      <w:bCs/>
      <w:kern w:val="2"/>
      <w:sz w:val="28"/>
      <w:szCs w:val="28"/>
    </w:rPr>
  </w:style>
  <w:style w:type="character" w:customStyle="1" w:styleId="115">
    <w:name w:val="标题 6 字符"/>
    <w:basedOn w:val="90"/>
    <w:link w:val="8"/>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字符"/>
    <w:basedOn w:val="90"/>
    <w:link w:val="9"/>
    <w:autoRedefine/>
    <w:semiHidden/>
    <w:qFormat/>
    <w:uiPriority w:val="9"/>
    <w:rPr>
      <w:rFonts w:ascii="Calibri" w:hAnsi="Calibri"/>
      <w:b/>
      <w:bCs/>
      <w:kern w:val="2"/>
      <w:sz w:val="24"/>
      <w:szCs w:val="24"/>
    </w:rPr>
  </w:style>
  <w:style w:type="character" w:customStyle="1" w:styleId="117">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8">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9">
    <w:name w:val="称呼 字符"/>
    <w:basedOn w:val="90"/>
    <w:link w:val="30"/>
    <w:autoRedefine/>
    <w:semiHidden/>
    <w:qFormat/>
    <w:uiPriority w:val="99"/>
    <w:rPr>
      <w:rFonts w:ascii="Calibri" w:hAnsi="Calibri"/>
      <w:kern w:val="2"/>
      <w:sz w:val="21"/>
      <w:szCs w:val="22"/>
    </w:rPr>
  </w:style>
  <w:style w:type="character" w:customStyle="1" w:styleId="120">
    <w:name w:val="纯文本 字符"/>
    <w:basedOn w:val="90"/>
    <w:link w:val="45"/>
    <w:autoRedefine/>
    <w:semiHidden/>
    <w:qFormat/>
    <w:uiPriority w:val="99"/>
    <w:rPr>
      <w:rFonts w:hAnsi="Courier New" w:cs="Courier New" w:asciiTheme="minorEastAsia" w:eastAsiaTheme="minorEastAsia"/>
      <w:kern w:val="2"/>
      <w:sz w:val="21"/>
      <w:szCs w:val="22"/>
    </w:rPr>
  </w:style>
  <w:style w:type="character" w:customStyle="1" w:styleId="121">
    <w:name w:val="电子邮件签名 字符"/>
    <w:basedOn w:val="90"/>
    <w:link w:val="19"/>
    <w:autoRedefine/>
    <w:semiHidden/>
    <w:qFormat/>
    <w:uiPriority w:val="99"/>
    <w:rPr>
      <w:rFonts w:ascii="Calibri" w:hAnsi="Calibri"/>
      <w:kern w:val="2"/>
      <w:sz w:val="21"/>
      <w:szCs w:val="22"/>
    </w:rPr>
  </w:style>
  <w:style w:type="character" w:customStyle="1" w:styleId="122">
    <w:name w:val="副标题 字符"/>
    <w:basedOn w:val="90"/>
    <w:link w:val="64"/>
    <w:autoRedefine/>
    <w:qFormat/>
    <w:uiPriority w:val="11"/>
    <w:rPr>
      <w:rFonts w:asciiTheme="minorHAnsi" w:hAnsiTheme="minorHAnsi" w:eastAsiaTheme="minorEastAsia" w:cstheme="minorBidi"/>
      <w:b/>
      <w:bCs/>
      <w:kern w:val="28"/>
      <w:sz w:val="32"/>
      <w:szCs w:val="32"/>
    </w:rPr>
  </w:style>
  <w:style w:type="character" w:customStyle="1" w:styleId="123">
    <w:name w:val="宏文本 字符"/>
    <w:basedOn w:val="90"/>
    <w:link w:val="2"/>
    <w:autoRedefine/>
    <w:semiHidden/>
    <w:qFormat/>
    <w:uiPriority w:val="99"/>
    <w:rPr>
      <w:rFonts w:ascii="Courier New" w:hAnsi="Courier New" w:cs="Courier New"/>
      <w:kern w:val="2"/>
      <w:sz w:val="24"/>
      <w:szCs w:val="24"/>
    </w:rPr>
  </w:style>
  <w:style w:type="character" w:customStyle="1" w:styleId="124">
    <w:name w:val="脚注文本 字符"/>
    <w:basedOn w:val="90"/>
    <w:link w:val="67"/>
    <w:autoRedefine/>
    <w:semiHidden/>
    <w:qFormat/>
    <w:uiPriority w:val="99"/>
    <w:rPr>
      <w:rFonts w:ascii="Calibri" w:hAnsi="Calibri"/>
      <w:kern w:val="2"/>
      <w:sz w:val="18"/>
      <w:szCs w:val="18"/>
    </w:rPr>
  </w:style>
  <w:style w:type="character" w:customStyle="1" w:styleId="125">
    <w:name w:val="结束语 字符"/>
    <w:basedOn w:val="90"/>
    <w:link w:val="32"/>
    <w:autoRedefine/>
    <w:semiHidden/>
    <w:qFormat/>
    <w:uiPriority w:val="99"/>
    <w:rPr>
      <w:rFonts w:ascii="Calibri" w:hAnsi="Calibri"/>
      <w:kern w:val="2"/>
      <w:sz w:val="21"/>
      <w:szCs w:val="22"/>
    </w:rPr>
  </w:style>
  <w:style w:type="paragraph" w:styleId="126">
    <w:name w:val="Intense Quote"/>
    <w:basedOn w:val="1"/>
    <w:next w:val="1"/>
    <w:link w:val="127"/>
    <w:autoRedefine/>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7">
    <w:name w:val="明显引用 字符"/>
    <w:basedOn w:val="90"/>
    <w:link w:val="126"/>
    <w:autoRedefine/>
    <w:semiHidden/>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128">
    <w:name w:val="签名 字符"/>
    <w:basedOn w:val="90"/>
    <w:link w:val="58"/>
    <w:autoRedefine/>
    <w:semiHidden/>
    <w:qFormat/>
    <w:uiPriority w:val="99"/>
    <w:rPr>
      <w:rFonts w:ascii="Calibri" w:hAnsi="Calibri"/>
      <w:kern w:val="2"/>
      <w:sz w:val="21"/>
      <w:szCs w:val="22"/>
    </w:rPr>
  </w:style>
  <w:style w:type="character" w:customStyle="1" w:styleId="129">
    <w:name w:val="日期 字符"/>
    <w:basedOn w:val="90"/>
    <w:link w:val="50"/>
    <w:autoRedefine/>
    <w:semiHidden/>
    <w:qFormat/>
    <w:uiPriority w:val="99"/>
    <w:rPr>
      <w:rFonts w:ascii="Calibri" w:hAnsi="Calibri"/>
      <w:kern w:val="2"/>
      <w:sz w:val="21"/>
      <w:szCs w:val="22"/>
    </w:rPr>
  </w:style>
  <w:style w:type="paragraph" w:customStyle="1" w:styleId="130">
    <w:name w:val="书目1"/>
    <w:basedOn w:val="1"/>
    <w:next w:val="1"/>
    <w:autoRedefine/>
    <w:semiHidden/>
    <w:unhideWhenUsed/>
    <w:qFormat/>
    <w:uiPriority w:val="37"/>
  </w:style>
  <w:style w:type="character" w:customStyle="1" w:styleId="131">
    <w:name w:val="尾注文本 字符"/>
    <w:basedOn w:val="90"/>
    <w:link w:val="52"/>
    <w:autoRedefine/>
    <w:semiHidden/>
    <w:qFormat/>
    <w:uiPriority w:val="99"/>
    <w:rPr>
      <w:rFonts w:ascii="Calibri" w:hAnsi="Calibri"/>
      <w:kern w:val="2"/>
      <w:sz w:val="21"/>
      <w:szCs w:val="22"/>
    </w:rPr>
  </w:style>
  <w:style w:type="character" w:customStyle="1" w:styleId="132">
    <w:name w:val="文档结构图 字符"/>
    <w:basedOn w:val="90"/>
    <w:link w:val="26"/>
    <w:autoRedefine/>
    <w:semiHidden/>
    <w:qFormat/>
    <w:uiPriority w:val="99"/>
    <w:rPr>
      <w:rFonts w:ascii="Microsoft YaHei UI" w:hAnsi="Calibri" w:eastAsia="Microsoft YaHei UI"/>
      <w:kern w:val="2"/>
      <w:sz w:val="18"/>
      <w:szCs w:val="18"/>
    </w:rPr>
  </w:style>
  <w:style w:type="paragraph" w:styleId="133">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5">
    <w:name w:val="Quote"/>
    <w:basedOn w:val="1"/>
    <w:next w:val="1"/>
    <w:link w:val="136"/>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autoRedefine/>
    <w:semiHidden/>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7">
    <w:name w:val="正文文本 2 字符"/>
    <w:basedOn w:val="90"/>
    <w:link w:val="76"/>
    <w:autoRedefine/>
    <w:semiHidden/>
    <w:qFormat/>
    <w:uiPriority w:val="99"/>
    <w:rPr>
      <w:rFonts w:ascii="Calibri" w:hAnsi="Calibri"/>
      <w:kern w:val="2"/>
      <w:sz w:val="21"/>
      <w:szCs w:val="22"/>
    </w:rPr>
  </w:style>
  <w:style w:type="character" w:customStyle="1" w:styleId="138">
    <w:name w:val="正文文本 3 字符"/>
    <w:basedOn w:val="90"/>
    <w:link w:val="31"/>
    <w:autoRedefine/>
    <w:semiHidden/>
    <w:qFormat/>
    <w:uiPriority w:val="99"/>
    <w:rPr>
      <w:rFonts w:ascii="Calibri" w:hAnsi="Calibri"/>
      <w:kern w:val="2"/>
      <w:sz w:val="16"/>
      <w:szCs w:val="16"/>
    </w:rPr>
  </w:style>
  <w:style w:type="character" w:customStyle="1" w:styleId="139">
    <w:name w:val="正文文本 字符"/>
    <w:basedOn w:val="90"/>
    <w:link w:val="34"/>
    <w:autoRedefine/>
    <w:semiHidden/>
    <w:qFormat/>
    <w:uiPriority w:val="0"/>
    <w:rPr>
      <w:rFonts w:ascii="宋体" w:hAnsi="宋体" w:cs="宋体"/>
      <w:kern w:val="2"/>
      <w:sz w:val="35"/>
      <w:szCs w:val="35"/>
      <w:lang w:eastAsia="en-US"/>
    </w:rPr>
  </w:style>
  <w:style w:type="character" w:customStyle="1" w:styleId="140">
    <w:name w:val="正文文本首行缩进 字符"/>
    <w:basedOn w:val="139"/>
    <w:link w:val="86"/>
    <w:autoRedefine/>
    <w:semiHidden/>
    <w:qFormat/>
    <w:uiPriority w:val="99"/>
    <w:rPr>
      <w:rFonts w:ascii="Calibri" w:hAnsi="Calibri" w:cs="宋体"/>
      <w:kern w:val="2"/>
      <w:sz w:val="21"/>
      <w:szCs w:val="22"/>
      <w:lang w:eastAsia="en-US"/>
    </w:rPr>
  </w:style>
  <w:style w:type="character" w:customStyle="1" w:styleId="141">
    <w:name w:val="正文文本缩进 字符"/>
    <w:basedOn w:val="90"/>
    <w:link w:val="35"/>
    <w:autoRedefine/>
    <w:semiHidden/>
    <w:qFormat/>
    <w:uiPriority w:val="99"/>
    <w:rPr>
      <w:rFonts w:ascii="Calibri" w:hAnsi="Calibri"/>
      <w:kern w:val="2"/>
      <w:sz w:val="21"/>
      <w:szCs w:val="22"/>
    </w:rPr>
  </w:style>
  <w:style w:type="character" w:customStyle="1" w:styleId="142">
    <w:name w:val="正文文本首行缩进 2 字符"/>
    <w:basedOn w:val="141"/>
    <w:link w:val="87"/>
    <w:autoRedefine/>
    <w:semiHidden/>
    <w:qFormat/>
    <w:uiPriority w:val="99"/>
    <w:rPr>
      <w:rFonts w:ascii="Calibri" w:hAnsi="Calibri"/>
      <w:kern w:val="2"/>
      <w:sz w:val="21"/>
      <w:szCs w:val="22"/>
    </w:rPr>
  </w:style>
  <w:style w:type="character" w:customStyle="1" w:styleId="143">
    <w:name w:val="正文文本缩进 2 字符"/>
    <w:basedOn w:val="90"/>
    <w:link w:val="51"/>
    <w:autoRedefine/>
    <w:semiHidden/>
    <w:qFormat/>
    <w:uiPriority w:val="99"/>
    <w:rPr>
      <w:rFonts w:ascii="Calibri" w:hAnsi="Calibri"/>
      <w:kern w:val="2"/>
      <w:sz w:val="21"/>
      <w:szCs w:val="22"/>
    </w:rPr>
  </w:style>
  <w:style w:type="character" w:customStyle="1" w:styleId="144">
    <w:name w:val="正文文本缩进 3 字符"/>
    <w:basedOn w:val="90"/>
    <w:link w:val="70"/>
    <w:autoRedefine/>
    <w:semiHidden/>
    <w:qFormat/>
    <w:uiPriority w:val="99"/>
    <w:rPr>
      <w:rFonts w:ascii="Calibri" w:hAnsi="Calibri"/>
      <w:kern w:val="2"/>
      <w:sz w:val="16"/>
      <w:szCs w:val="16"/>
    </w:rPr>
  </w:style>
  <w:style w:type="character" w:customStyle="1" w:styleId="145">
    <w:name w:val="注释标题 字符"/>
    <w:basedOn w:val="90"/>
    <w:link w:val="16"/>
    <w:autoRedefine/>
    <w:semiHidden/>
    <w:qFormat/>
    <w:uiPriority w:val="99"/>
    <w:rPr>
      <w:rFonts w:ascii="Calibri" w:hAnsi="Calibri"/>
      <w:kern w:val="2"/>
      <w:sz w:val="21"/>
      <w:szCs w:val="22"/>
    </w:rPr>
  </w:style>
  <w:style w:type="paragraph" w:customStyle="1" w:styleId="146">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font11"/>
    <w:basedOn w:val="90"/>
    <w:autoRedefine/>
    <w:qFormat/>
    <w:uiPriority w:val="0"/>
    <w:rPr>
      <w:rFonts w:hint="eastAsia" w:ascii="宋体" w:hAnsi="宋体" w:eastAsia="宋体" w:cs="宋体"/>
      <w:b/>
      <w:bCs/>
      <w:color w:val="000000"/>
      <w:sz w:val="24"/>
      <w:szCs w:val="24"/>
      <w:u w:val="none"/>
    </w:rPr>
  </w:style>
  <w:style w:type="character" w:customStyle="1" w:styleId="148">
    <w:name w:val="font21"/>
    <w:basedOn w:val="90"/>
    <w:autoRedefine/>
    <w:qFormat/>
    <w:uiPriority w:val="0"/>
    <w:rPr>
      <w:rFonts w:hint="eastAsia" w:ascii="宋体" w:hAnsi="宋体" w:eastAsia="宋体" w:cs="宋体"/>
      <w:color w:val="000000"/>
      <w:sz w:val="24"/>
      <w:szCs w:val="24"/>
      <w:u w:val="none"/>
    </w:rPr>
  </w:style>
  <w:style w:type="paragraph" w:customStyle="1" w:styleId="14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150">
    <w:name w:val="TOC 标题2"/>
    <w:basedOn w:val="3"/>
    <w:next w:val="1"/>
    <w:autoRedefine/>
    <w:semiHidden/>
    <w:unhideWhenUsed/>
    <w:qFormat/>
    <w:uiPriority w:val="39"/>
    <w:pPr>
      <w:outlineLvl w:val="9"/>
    </w:pPr>
  </w:style>
  <w:style w:type="paragraph" w:customStyle="1" w:styleId="151">
    <w:name w:val="书目2"/>
    <w:basedOn w:val="1"/>
    <w:next w:val="1"/>
    <w:autoRedefine/>
    <w:semiHidden/>
    <w:unhideWhenUsed/>
    <w:qFormat/>
    <w:uiPriority w:val="37"/>
  </w:style>
  <w:style w:type="paragraph" w:customStyle="1" w:styleId="152">
    <w:name w:val="修订7"/>
    <w:autoRedefine/>
    <w:hidden/>
    <w:unhideWhenUsed/>
    <w:qFormat/>
    <w:uiPriority w:val="99"/>
    <w:rPr>
      <w:rFonts w:ascii="Calibri" w:hAnsi="Calibri" w:eastAsia="宋体" w:cs="Times New Roman"/>
      <w:kern w:val="2"/>
      <w:sz w:val="21"/>
      <w:szCs w:val="22"/>
      <w:lang w:val="en-US" w:eastAsia="zh-CN" w:bidi="ar-SA"/>
    </w:rPr>
  </w:style>
  <w:style w:type="paragraph" w:customStyle="1" w:styleId="153">
    <w:name w:val="修订8"/>
    <w:hidden/>
    <w:unhideWhenUsed/>
    <w:qFormat/>
    <w:uiPriority w:val="99"/>
    <w:rPr>
      <w:rFonts w:ascii="Calibri" w:hAnsi="Calibri" w:eastAsia="宋体" w:cs="Times New Roman"/>
      <w:kern w:val="2"/>
      <w:sz w:val="21"/>
      <w:szCs w:val="22"/>
      <w:lang w:val="en-US" w:eastAsia="zh-CN" w:bidi="ar-SA"/>
    </w:rPr>
  </w:style>
  <w:style w:type="paragraph" w:customStyle="1" w:styleId="154">
    <w:name w:val="修订9"/>
    <w:hidden/>
    <w:unhideWhenUsed/>
    <w:qFormat/>
    <w:uiPriority w:val="99"/>
    <w:rPr>
      <w:rFonts w:ascii="Calibri" w:hAnsi="Calibri" w:eastAsia="宋体" w:cs="Times New Roman"/>
      <w:kern w:val="2"/>
      <w:sz w:val="21"/>
      <w:szCs w:val="22"/>
      <w:lang w:val="en-US" w:eastAsia="zh-CN" w:bidi="ar-SA"/>
    </w:rPr>
  </w:style>
  <w:style w:type="paragraph" w:customStyle="1" w:styleId="155">
    <w:name w:val="修订10"/>
    <w:hidden/>
    <w:unhideWhenUsed/>
    <w:qFormat/>
    <w:uiPriority w:val="99"/>
    <w:rPr>
      <w:rFonts w:ascii="Calibri" w:hAnsi="Calibri" w:eastAsia="宋体" w:cs="Times New Roman"/>
      <w:kern w:val="2"/>
      <w:sz w:val="21"/>
      <w:szCs w:val="22"/>
      <w:lang w:val="en-US" w:eastAsia="zh-CN" w:bidi="ar-SA"/>
    </w:rPr>
  </w:style>
  <w:style w:type="paragraph" w:customStyle="1" w:styleId="156">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729EB-DD8E-49F2-BCA2-B982D114E1A2}">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4592</Words>
  <Characters>5253</Characters>
  <Lines>101</Lines>
  <Paragraphs>58</Paragraphs>
  <TotalTime>16</TotalTime>
  <ScaleCrop>false</ScaleCrop>
  <LinksUpToDate>false</LinksUpToDate>
  <CharactersWithSpaces>5348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2024-08-05T06:16:00Z</dcterms:created>
  <dc:creator>tek</dc:creator>
  <cp:lastModifiedBy>雯亦</cp:lastModifiedBy>
  <dcterms:modified xsi:type="dcterms:W3CDTF">2025-04-02T06:54:15Z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E92F41EEA9124804A0AED7240216F205_13</vt:lpwstr>
  </property>
  <property fmtid="{D5CDD505-2E9C-101B-9397-08002B2CF9AE}" pid="4" name="KSOTemplateDocerSaveRecord">
    <vt:lpwstr>eyJoZGlkIjoiZTQzZmRmZDMxMjkwMDE2NTk0ZWQ1ZWYwMzRmYjVhNmUiLCJ1c2VySWQiOiI2NDQwNzQxNTQifQ==</vt:lpwstr>
  </property>
</Properties>
</file>