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89F4B">
      <w:pPr>
        <w:adjustRightInd w:val="0"/>
        <w:snapToGrid w:val="0"/>
        <w:spacing w:line="560" w:lineRule="exact"/>
        <w:jc w:val="left"/>
        <w:rPr>
          <w:rFonts w:hint="eastAsia" w:ascii="仿宋" w:hAnsi="仿宋" w:eastAsia="仿宋_GB2312"/>
          <w:sz w:val="30"/>
          <w:szCs w:val="30"/>
        </w:rPr>
      </w:pPr>
      <w:r>
        <w:rPr>
          <w:rFonts w:hint="eastAsia" w:ascii="宋体" w:hAnsi="宋体"/>
          <w:b/>
          <w:sz w:val="24"/>
          <w:szCs w:val="24"/>
        </w:rPr>
        <w:t>证券代码：</w:t>
      </w:r>
      <w:r>
        <w:rPr>
          <w:rFonts w:ascii="宋体" w:hAnsi="宋体"/>
          <w:b/>
          <w:sz w:val="24"/>
          <w:szCs w:val="24"/>
        </w:rPr>
        <w:t xml:space="preserve">603191        </w:t>
      </w:r>
      <w:r>
        <w:rPr>
          <w:rFonts w:hint="eastAsia" w:ascii="宋体" w:hAnsi="宋体"/>
          <w:b/>
          <w:sz w:val="24"/>
          <w:szCs w:val="24"/>
        </w:rPr>
        <w:t xml:space="preserve">证券简称：望变电气 </w:t>
      </w:r>
      <w:r>
        <w:rPr>
          <w:rFonts w:ascii="宋体" w:hAnsi="宋体"/>
          <w:b/>
          <w:sz w:val="24"/>
          <w:szCs w:val="24"/>
        </w:rPr>
        <w:t xml:space="preserve">       </w:t>
      </w:r>
      <w:r>
        <w:rPr>
          <w:rFonts w:hint="eastAsia" w:ascii="宋体" w:hAnsi="宋体"/>
          <w:b/>
          <w:sz w:val="24"/>
          <w:szCs w:val="24"/>
        </w:rPr>
        <w:t>公告编号：2</w:t>
      </w:r>
      <w:r>
        <w:rPr>
          <w:rFonts w:ascii="宋体" w:hAnsi="宋体"/>
          <w:b/>
          <w:sz w:val="24"/>
          <w:szCs w:val="24"/>
        </w:rPr>
        <w:t>02</w:t>
      </w:r>
      <w:r>
        <w:rPr>
          <w:rFonts w:hint="eastAsia" w:ascii="宋体" w:hAnsi="宋体"/>
          <w:b/>
          <w:sz w:val="24"/>
          <w:szCs w:val="24"/>
        </w:rPr>
        <w:t>5</w:t>
      </w:r>
      <w:r>
        <w:rPr>
          <w:rFonts w:ascii="宋体" w:hAnsi="宋体"/>
          <w:b/>
          <w:sz w:val="24"/>
          <w:szCs w:val="24"/>
        </w:rPr>
        <w:t>-0</w:t>
      </w:r>
      <w:r>
        <w:rPr>
          <w:rFonts w:hint="eastAsia" w:ascii="宋体" w:hAnsi="宋体" w:eastAsia="仿宋_GB2312"/>
          <w:b/>
          <w:sz w:val="24"/>
          <w:szCs w:val="24"/>
        </w:rPr>
        <w:t>09</w:t>
      </w:r>
    </w:p>
    <w:p w14:paraId="5A90EB51">
      <w:pPr>
        <w:adjustRightInd w:val="0"/>
        <w:snapToGrid w:val="0"/>
        <w:spacing w:before="159" w:beforeLines="50" w:line="560" w:lineRule="exact"/>
        <w:jc w:val="center"/>
        <w:rPr>
          <w:rFonts w:hint="eastAsia" w:ascii="宋体" w:hAnsi="宋体" w:cs="仿宋_GB2312"/>
          <w:b/>
          <w:bCs/>
          <w:color w:val="FF0000"/>
          <w:sz w:val="36"/>
          <w:szCs w:val="36"/>
        </w:rPr>
      </w:pPr>
      <w:r>
        <w:rPr>
          <w:rFonts w:hint="eastAsia" w:ascii="宋体" w:hAnsi="宋体" w:cs="仿宋_GB2312"/>
          <w:b/>
          <w:bCs/>
          <w:color w:val="FF0000"/>
          <w:sz w:val="36"/>
          <w:szCs w:val="36"/>
        </w:rPr>
        <w:t>重庆望变电气（集团）股份有限公司</w:t>
      </w:r>
    </w:p>
    <w:p w14:paraId="27A0E369">
      <w:pPr>
        <w:adjustRightInd w:val="0"/>
        <w:snapToGrid w:val="0"/>
        <w:spacing w:before="159" w:beforeLines="50" w:line="560" w:lineRule="exact"/>
        <w:jc w:val="center"/>
        <w:rPr>
          <w:rFonts w:hint="eastAsia" w:ascii="宋体" w:hAnsi="宋体" w:cs="仿宋_GB2312"/>
          <w:b/>
          <w:bCs/>
          <w:color w:val="FF0000"/>
          <w:sz w:val="36"/>
          <w:szCs w:val="36"/>
        </w:rPr>
      </w:pPr>
      <w:r>
        <w:rPr>
          <w:rFonts w:hint="eastAsia" w:ascii="宋体" w:hAnsi="宋体" w:cs="仿宋_GB2312"/>
          <w:b/>
          <w:bCs/>
          <w:color w:val="FF0000"/>
          <w:sz w:val="36"/>
          <w:szCs w:val="36"/>
        </w:rPr>
        <w:t>关于2025年1月</w:t>
      </w:r>
      <w:r>
        <w:rPr>
          <w:rFonts w:ascii="宋体" w:hAnsi="宋体" w:cs="仿宋_GB2312"/>
          <w:b/>
          <w:bCs/>
          <w:color w:val="FF0000"/>
          <w:sz w:val="36"/>
          <w:szCs w:val="36"/>
        </w:rPr>
        <w:t>对外</w:t>
      </w:r>
      <w:r>
        <w:rPr>
          <w:rFonts w:hint="eastAsia" w:ascii="宋体" w:hAnsi="宋体" w:cs="仿宋_GB2312"/>
          <w:b/>
          <w:bCs/>
          <w:color w:val="FF0000"/>
          <w:sz w:val="36"/>
          <w:szCs w:val="36"/>
        </w:rPr>
        <w:t>担保的进展公告</w:t>
      </w:r>
    </w:p>
    <w:p w14:paraId="10CE4F52">
      <w:pPr>
        <w:adjustRightInd w:val="0"/>
        <w:snapToGrid w:val="0"/>
        <w:spacing w:before="159" w:beforeLines="50" w:line="560" w:lineRule="exact"/>
        <w:jc w:val="center"/>
        <w:rPr>
          <w:rFonts w:hint="eastAsia" w:ascii="仿宋_GB2312" w:hAnsi="仿宋_GB2312" w:eastAsia="仿宋_GB2312" w:cs="仿宋_GB2312"/>
          <w:b/>
          <w:bCs/>
          <w:sz w:val="30"/>
          <w:szCs w:val="30"/>
        </w:rPr>
      </w:pPr>
    </w:p>
    <w:p w14:paraId="48EFC4E2">
      <w:pPr>
        <w:pBdr>
          <w:top w:val="single" w:color="auto" w:sz="4" w:space="1"/>
          <w:left w:val="single" w:color="auto" w:sz="4" w:space="4"/>
          <w:bottom w:val="single" w:color="auto" w:sz="4" w:space="1"/>
          <w:right w:val="single" w:color="auto" w:sz="4" w:space="4"/>
        </w:pBdr>
        <w:adjustRightInd w:val="0"/>
        <w:snapToGrid w:val="0"/>
        <w:spacing w:line="560" w:lineRule="exact"/>
        <w:ind w:firstLine="480" w:firstLineChars="200"/>
        <w:rPr>
          <w:rFonts w:hint="eastAsia" w:ascii="宋体" w:hAnsi="宋体"/>
          <w:sz w:val="24"/>
          <w:szCs w:val="24"/>
        </w:rPr>
      </w:pPr>
      <w:r>
        <w:rPr>
          <w:rFonts w:hint="eastAsia" w:ascii="仿宋" w:hAnsi="仿宋" w:eastAsia="仿宋"/>
          <w:sz w:val="24"/>
          <w:szCs w:val="24"/>
        </w:rPr>
        <w:t>本公司董事会及全体董事保证本公告内容不存在任何虚假记载、误导性陈述或者重大遗漏，并对其内容的真实性、准确性和完整性承担法律责任</w:t>
      </w:r>
      <w:r>
        <w:rPr>
          <w:rFonts w:hint="eastAsia" w:ascii="宋体" w:hAnsi="宋体"/>
          <w:sz w:val="24"/>
          <w:szCs w:val="24"/>
        </w:rPr>
        <w:t>。</w:t>
      </w:r>
    </w:p>
    <w:p w14:paraId="642CEA82">
      <w:pPr>
        <w:adjustRightInd w:val="0"/>
        <w:snapToGrid w:val="0"/>
        <w:spacing w:line="560" w:lineRule="exact"/>
        <w:rPr>
          <w:rFonts w:hint="eastAsia" w:ascii="宋体" w:hAnsi="宋体" w:cs="宋体"/>
          <w:sz w:val="24"/>
          <w:szCs w:val="24"/>
        </w:rPr>
      </w:pPr>
    </w:p>
    <w:p w14:paraId="3DD71F21">
      <w:pPr>
        <w:adjustRightInd w:val="0"/>
        <w:snapToGrid w:val="0"/>
        <w:spacing w:line="560" w:lineRule="exact"/>
        <w:rPr>
          <w:rFonts w:hint="eastAsia" w:ascii="宋体" w:hAnsi="宋体" w:cs="宋体"/>
          <w:b/>
          <w:sz w:val="24"/>
          <w:szCs w:val="24"/>
        </w:rPr>
      </w:pPr>
      <w:r>
        <w:rPr>
          <w:rFonts w:hint="eastAsia" w:ascii="宋体" w:hAnsi="宋体" w:cs="宋体"/>
          <w:b/>
          <w:sz w:val="24"/>
          <w:szCs w:val="24"/>
        </w:rPr>
        <w:t>重要内容提示：</w:t>
      </w:r>
    </w:p>
    <w:p w14:paraId="50C6BE38">
      <w:pPr>
        <w:pStyle w:val="94"/>
        <w:numPr>
          <w:ilvl w:val="0"/>
          <w:numId w:val="12"/>
        </w:numPr>
        <w:rPr>
          <w:rFonts w:hint="eastAsia" w:ascii="宋体" w:hAnsi="宋体" w:cs="宋体"/>
          <w:b/>
          <w:sz w:val="24"/>
          <w:szCs w:val="24"/>
        </w:rPr>
      </w:pPr>
      <w:r>
        <w:rPr>
          <w:rFonts w:hint="eastAsia" w:ascii="宋体" w:hAnsi="宋体" w:cs="宋体"/>
          <w:sz w:val="24"/>
          <w:szCs w:val="24"/>
        </w:rPr>
        <w:t>被担保人：控股子公司云南变压器电气股份有限公司（以下简称“云变电气”）</w:t>
      </w:r>
    </w:p>
    <w:p w14:paraId="4611552F">
      <w:pPr>
        <w:pStyle w:val="94"/>
        <w:numPr>
          <w:ilvl w:val="0"/>
          <w:numId w:val="12"/>
        </w:numPr>
        <w:rPr>
          <w:rFonts w:hint="eastAsia" w:ascii="宋体" w:hAnsi="宋体" w:cs="宋体"/>
          <w:sz w:val="24"/>
          <w:szCs w:val="24"/>
        </w:rPr>
      </w:pPr>
      <w:r>
        <w:rPr>
          <w:rFonts w:hint="eastAsia" w:ascii="宋体" w:hAnsi="宋体" w:cs="宋体"/>
          <w:sz w:val="24"/>
          <w:szCs w:val="24"/>
        </w:rPr>
        <w:t>担保金额及已实际提供的担保余额：2025年1月1日-1月31日期间，重庆望变电气（集团）股份有限公司（以下简称“公司”或“望变电气”）及下属子公司合计新增对外担保10,000.00万元；截止2025年1月末，公司对外担保余额为 29,526.58 万元，均为对子公司提供的担保；</w:t>
      </w:r>
    </w:p>
    <w:p w14:paraId="3D8BEAA5">
      <w:pPr>
        <w:pStyle w:val="94"/>
        <w:rPr>
          <w:rFonts w:hint="eastAsia" w:ascii="宋体" w:hAnsi="宋体" w:cs="宋体"/>
          <w:sz w:val="24"/>
          <w:szCs w:val="24"/>
        </w:rPr>
      </w:pPr>
      <w:r>
        <w:rPr>
          <w:rFonts w:hint="eastAsia" w:ascii="宋体" w:hAnsi="宋体" w:cs="宋体"/>
          <w:sz w:val="24"/>
          <w:szCs w:val="24"/>
        </w:rPr>
        <w:t>是否有反担保：无</w:t>
      </w:r>
    </w:p>
    <w:p w14:paraId="78CF50A9">
      <w:pPr>
        <w:pStyle w:val="94"/>
        <w:rPr>
          <w:rFonts w:hint="eastAsia" w:ascii="宋体" w:hAnsi="宋体" w:cs="宋体"/>
          <w:sz w:val="24"/>
          <w:szCs w:val="24"/>
        </w:rPr>
      </w:pPr>
      <w:r>
        <w:rPr>
          <w:rFonts w:hint="eastAsia" w:ascii="宋体" w:hAnsi="宋体" w:cs="宋体"/>
          <w:sz w:val="24"/>
          <w:szCs w:val="24"/>
        </w:rPr>
        <w:t>公司有无逾期对外担保的情况：无</w:t>
      </w:r>
    </w:p>
    <w:p w14:paraId="52349442">
      <w:pPr>
        <w:pStyle w:val="94"/>
        <w:rPr>
          <w:rFonts w:hint="eastAsia" w:ascii="宋体" w:hAnsi="宋体" w:cs="宋体"/>
          <w:sz w:val="24"/>
          <w:szCs w:val="24"/>
        </w:rPr>
      </w:pPr>
      <w:r>
        <w:rPr>
          <w:rFonts w:hint="eastAsia" w:ascii="宋体" w:hAnsi="宋体" w:cs="宋体"/>
          <w:spacing w:val="-1"/>
          <w:sz w:val="24"/>
          <w:szCs w:val="24"/>
        </w:rPr>
        <w:t>特别风险提示：截至2025年1月31日，公司对外担保总额为人民币46,500万元，担保余额为</w:t>
      </w:r>
      <w:r>
        <w:rPr>
          <w:rFonts w:hint="eastAsia" w:ascii="宋体" w:hAnsi="宋体" w:cs="宋体"/>
          <w:sz w:val="24"/>
          <w:szCs w:val="24"/>
        </w:rPr>
        <w:t xml:space="preserve"> 29,526.58</w:t>
      </w:r>
      <w:r>
        <w:rPr>
          <w:rFonts w:hint="eastAsia" w:ascii="宋体" w:hAnsi="宋体" w:cs="宋体"/>
          <w:spacing w:val="-1"/>
          <w:sz w:val="24"/>
          <w:szCs w:val="24"/>
        </w:rPr>
        <w:t>万元，占公司最近一期经审计净资产的12.35%；对</w:t>
      </w:r>
      <w:r>
        <w:rPr>
          <w:rFonts w:hint="eastAsia" w:ascii="宋体" w:hAnsi="宋体" w:cs="宋体"/>
          <w:spacing w:val="-2"/>
          <w:sz w:val="24"/>
          <w:szCs w:val="24"/>
        </w:rPr>
        <w:t>资产负债率超过70.00%的单位提供担保的金额为人民币11,000.00万元，担保余额为 4,405.13 万元，占公司最近一期经审计净资产的1.84%；</w:t>
      </w:r>
      <w:r>
        <w:rPr>
          <w:rFonts w:hint="eastAsia" w:ascii="宋体" w:hAnsi="宋体" w:cs="宋体"/>
          <w:spacing w:val="-1"/>
          <w:sz w:val="24"/>
          <w:szCs w:val="24"/>
        </w:rPr>
        <w:t>敬请投资者充分关</w:t>
      </w:r>
      <w:r>
        <w:rPr>
          <w:rFonts w:hint="eastAsia" w:ascii="宋体" w:hAnsi="宋体" w:cs="宋体"/>
          <w:spacing w:val="-5"/>
          <w:sz w:val="24"/>
          <w:szCs w:val="24"/>
        </w:rPr>
        <w:t>注担保风险。</w:t>
      </w:r>
    </w:p>
    <w:p w14:paraId="6DFE09CA">
      <w:pPr>
        <w:numPr>
          <w:ilvl w:val="0"/>
          <w:numId w:val="13"/>
        </w:numPr>
        <w:autoSpaceDE w:val="0"/>
        <w:autoSpaceDN w:val="0"/>
        <w:adjustRightInd w:val="0"/>
        <w:spacing w:line="560" w:lineRule="exact"/>
        <w:rPr>
          <w:rFonts w:hint="eastAsia" w:ascii="宋体" w:hAnsi="宋体" w:cs="宋体"/>
          <w:b/>
          <w:sz w:val="24"/>
          <w:szCs w:val="24"/>
        </w:rPr>
      </w:pPr>
      <w:r>
        <w:rPr>
          <w:rFonts w:hint="eastAsia" w:ascii="宋体" w:hAnsi="宋体" w:cs="宋体"/>
          <w:b/>
          <w:sz w:val="24"/>
          <w:szCs w:val="24"/>
        </w:rPr>
        <w:t>担保情况概述</w:t>
      </w:r>
    </w:p>
    <w:p w14:paraId="00101A03">
      <w:pPr>
        <w:autoSpaceDE w:val="0"/>
        <w:autoSpaceDN w:val="0"/>
        <w:adjustRightInd w:val="0"/>
        <w:spacing w:line="560" w:lineRule="exact"/>
        <w:rPr>
          <w:rFonts w:hint="eastAsia" w:ascii="宋体" w:hAnsi="宋体" w:cs="宋体"/>
          <w:kern w:val="0"/>
          <w:sz w:val="24"/>
          <w:szCs w:val="24"/>
        </w:rPr>
      </w:pPr>
      <w:r>
        <w:rPr>
          <w:rFonts w:hint="eastAsia" w:ascii="宋体" w:hAnsi="宋体" w:cs="宋体"/>
          <w:kern w:val="0"/>
          <w:sz w:val="24"/>
          <w:szCs w:val="24"/>
        </w:rPr>
        <w:t>（一）</w:t>
      </w:r>
      <w:r>
        <w:rPr>
          <w:rFonts w:ascii="宋体" w:hAnsi="宋体" w:cs="宋体"/>
          <w:kern w:val="0"/>
          <w:sz w:val="24"/>
          <w:szCs w:val="24"/>
        </w:rPr>
        <w:t>公司对外担保总额及内部决策程序履行</w:t>
      </w:r>
      <w:r>
        <w:rPr>
          <w:rFonts w:hint="eastAsia" w:ascii="宋体" w:hAnsi="宋体" w:cs="宋体"/>
          <w:kern w:val="0"/>
          <w:sz w:val="24"/>
          <w:szCs w:val="24"/>
        </w:rPr>
        <w:t>情况</w:t>
      </w:r>
    </w:p>
    <w:p w14:paraId="07CBA296">
      <w:pPr>
        <w:spacing w:line="560" w:lineRule="exact"/>
        <w:ind w:firstLine="480" w:firstLineChars="200"/>
        <w:rPr>
          <w:rFonts w:hint="eastAsia" w:ascii="宋体" w:hAnsi="宋体" w:cs="宋体"/>
          <w:kern w:val="0"/>
          <w:sz w:val="24"/>
          <w:szCs w:val="24"/>
        </w:rPr>
      </w:pPr>
      <w:r>
        <w:rPr>
          <w:rFonts w:hint="eastAsia" w:ascii="宋体" w:hAnsi="宋体" w:cs="宋体"/>
          <w:kern w:val="0"/>
          <w:sz w:val="24"/>
          <w:szCs w:val="24"/>
        </w:rPr>
        <w:t>公司于2024年11月26日召开第四届董事会第九次会议审议通过《关于2025年度向银行等金融机构申请综合授信额度及为子公司提供融资担保额度的议案》，同意2025年度为子公司重庆惠泽电器有限公司（以下简称“惠泽电器”）向银行等金融机构申请综合授信或借款提供新增额度不超过1亿元人民币（或等值外币）的担保；同意2025年度为资产负债率超过70%的子公司黔南望江变压器有限公司（以下简称“黔南望江”）向银行等金融机构申请综合授信或借款提供新增额度不超过2亿元人民币（或等值外币）的担保；同意2025年度为子公司云变电气向银行等金融机构申请综合授信或借款提供新增额度不超过12亿元人民币（或等值外币）的担保。上述担保额度有效期自2025年1月1日至2025年12月31日。该担保事项已提交公司2024年第三次临时股东会审议通过。具体情况详见公司在上海证券交易所官网披露的《关于预计2025年度对子公司新增担保额度的公告》（公告编号：2024-075）和《2024年第三次临时股东大会决议公告》（公告编号：2024-082）。</w:t>
      </w:r>
    </w:p>
    <w:p w14:paraId="4501BC21">
      <w:pPr>
        <w:autoSpaceDE w:val="0"/>
        <w:autoSpaceDN w:val="0"/>
        <w:adjustRightInd w:val="0"/>
        <w:spacing w:line="560" w:lineRule="exact"/>
        <w:rPr>
          <w:rFonts w:hint="eastAsia" w:ascii="宋体" w:hAnsi="宋体" w:cs="宋体"/>
          <w:kern w:val="0"/>
          <w:sz w:val="24"/>
          <w:szCs w:val="24"/>
        </w:rPr>
      </w:pPr>
      <w:r>
        <w:rPr>
          <w:rFonts w:hint="eastAsia" w:ascii="宋体" w:hAnsi="宋体" w:cs="宋体"/>
          <w:kern w:val="0"/>
          <w:sz w:val="24"/>
          <w:szCs w:val="24"/>
        </w:rPr>
        <w:t>（二）本月对外担保进展情况</w:t>
      </w:r>
    </w:p>
    <w:p w14:paraId="71FA9070">
      <w:pPr>
        <w:autoSpaceDE w:val="0"/>
        <w:autoSpaceDN w:val="0"/>
        <w:adjustRightInd w:val="0"/>
        <w:spacing w:line="560" w:lineRule="exact"/>
        <w:ind w:firstLine="480"/>
        <w:rPr>
          <w:rFonts w:hint="eastAsia" w:ascii="宋体" w:hAnsi="宋体" w:cs="宋体"/>
          <w:kern w:val="0"/>
          <w:sz w:val="24"/>
          <w:szCs w:val="24"/>
        </w:rPr>
      </w:pPr>
      <w:r>
        <w:rPr>
          <w:rFonts w:hint="eastAsia" w:ascii="宋体" w:hAnsi="宋体" w:cs="宋体"/>
          <w:kern w:val="0"/>
          <w:sz w:val="24"/>
          <w:szCs w:val="24"/>
        </w:rPr>
        <w:t>2025年1月，公司及下属子公司新增对外担保人民币10,000万元，系公司于</w:t>
      </w:r>
      <w:r>
        <w:rPr>
          <w:rFonts w:hint="eastAsia" w:ascii="宋体" w:hAnsi="宋体" w:cs="宋体"/>
          <w:kern w:val="0"/>
          <w:sz w:val="24"/>
          <w:szCs w:val="24"/>
          <w:highlight w:val="none"/>
        </w:rPr>
        <w:t>2025年1月22日</w:t>
      </w:r>
      <w:r>
        <w:rPr>
          <w:rFonts w:hint="eastAsia" w:ascii="宋体" w:hAnsi="宋体" w:cs="宋体"/>
          <w:kern w:val="0"/>
          <w:sz w:val="24"/>
          <w:szCs w:val="24"/>
          <w:highlight w:val="none"/>
          <w:lang w:val="en-US" w:eastAsia="zh-CN"/>
        </w:rPr>
        <w:t>与</w:t>
      </w:r>
      <w:r>
        <w:rPr>
          <w:rFonts w:hint="eastAsia" w:ascii="宋体" w:hAnsi="宋体" w:cs="宋体"/>
          <w:kern w:val="0"/>
          <w:sz w:val="24"/>
          <w:szCs w:val="24"/>
          <w:highlight w:val="none"/>
        </w:rPr>
        <w:t>交通银行</w:t>
      </w:r>
      <w:r>
        <w:rPr>
          <w:rFonts w:hint="eastAsia" w:ascii="宋体" w:hAnsi="宋体" w:cs="宋体"/>
          <w:kern w:val="0"/>
          <w:sz w:val="24"/>
          <w:szCs w:val="24"/>
          <w:highlight w:val="none"/>
          <w:lang w:val="en-US" w:eastAsia="zh-CN"/>
        </w:rPr>
        <w:t>云南省</w:t>
      </w:r>
      <w:r>
        <w:rPr>
          <w:rFonts w:hint="eastAsia" w:ascii="宋体" w:hAnsi="宋体" w:cs="宋体"/>
          <w:kern w:val="0"/>
          <w:sz w:val="24"/>
          <w:szCs w:val="24"/>
          <w:highlight w:val="none"/>
        </w:rPr>
        <w:t>分行</w:t>
      </w:r>
      <w:r>
        <w:rPr>
          <w:rFonts w:hint="eastAsia" w:ascii="宋体" w:hAnsi="宋体" w:cs="宋体"/>
          <w:kern w:val="0"/>
          <w:sz w:val="24"/>
          <w:szCs w:val="24"/>
          <w:highlight w:val="none"/>
          <w:lang w:val="en-US" w:eastAsia="zh-CN"/>
        </w:rPr>
        <w:t>签署</w:t>
      </w:r>
      <w:r>
        <w:rPr>
          <w:rFonts w:hint="eastAsia" w:ascii="宋体" w:hAnsi="宋体" w:cs="宋体"/>
          <w:kern w:val="0"/>
          <w:sz w:val="24"/>
          <w:szCs w:val="24"/>
          <w:highlight w:val="none"/>
        </w:rPr>
        <w:t>的《</w:t>
      </w:r>
      <w:r>
        <w:rPr>
          <w:rFonts w:hint="eastAsia" w:ascii="宋体" w:hAnsi="宋体" w:cs="宋体"/>
          <w:kern w:val="0"/>
          <w:sz w:val="24"/>
          <w:szCs w:val="24"/>
          <w:highlight w:val="none"/>
          <w:lang w:val="en-US" w:eastAsia="zh-CN"/>
        </w:rPr>
        <w:t>保证合同</w:t>
      </w:r>
      <w:r>
        <w:rPr>
          <w:rFonts w:hint="eastAsia" w:ascii="宋体" w:hAnsi="宋体" w:cs="宋体"/>
          <w:kern w:val="0"/>
          <w:sz w:val="24"/>
          <w:szCs w:val="24"/>
          <w:highlight w:val="none"/>
        </w:rPr>
        <w:t>》</w:t>
      </w:r>
      <w:r>
        <w:rPr>
          <w:rFonts w:hint="eastAsia" w:ascii="宋体" w:hAnsi="宋体" w:cs="宋体"/>
          <w:kern w:val="0"/>
          <w:sz w:val="24"/>
          <w:szCs w:val="24"/>
        </w:rPr>
        <w:t>，为控股子公司云变电气与交通银行</w:t>
      </w:r>
      <w:r>
        <w:rPr>
          <w:rFonts w:hint="eastAsia" w:ascii="宋体" w:hAnsi="宋体" w:cs="宋体"/>
          <w:kern w:val="0"/>
          <w:sz w:val="24"/>
          <w:szCs w:val="24"/>
          <w:highlight w:val="none"/>
          <w:lang w:val="en-US" w:eastAsia="zh-CN"/>
        </w:rPr>
        <w:t>云南省</w:t>
      </w:r>
      <w:r>
        <w:rPr>
          <w:rFonts w:hint="eastAsia" w:ascii="宋体" w:hAnsi="宋体" w:cs="宋体"/>
          <w:kern w:val="0"/>
          <w:sz w:val="24"/>
          <w:szCs w:val="24"/>
        </w:rPr>
        <w:t>分行在2025年1月22日至2026年12月31日期间签订的</w:t>
      </w:r>
      <w:r>
        <w:rPr>
          <w:rFonts w:hint="eastAsia" w:ascii="宋体" w:hAnsi="宋体" w:cs="宋体"/>
          <w:kern w:val="0"/>
          <w:sz w:val="24"/>
          <w:szCs w:val="24"/>
          <w:lang w:val="en-US" w:eastAsia="zh-CN"/>
        </w:rPr>
        <w:t>全部授信业务合同</w:t>
      </w:r>
      <w:r>
        <w:rPr>
          <w:rFonts w:hint="eastAsia" w:ascii="宋体" w:hAnsi="宋体" w:cs="宋体"/>
          <w:kern w:val="0"/>
          <w:sz w:val="24"/>
          <w:szCs w:val="24"/>
        </w:rPr>
        <w:t>提供不超过人民币10,000万元的连带责任担保。</w:t>
      </w:r>
    </w:p>
    <w:p w14:paraId="7C696DA8">
      <w:pPr>
        <w:autoSpaceDE w:val="0"/>
        <w:autoSpaceDN w:val="0"/>
        <w:adjustRightInd w:val="0"/>
        <w:spacing w:line="560" w:lineRule="exact"/>
        <w:ind w:firstLine="480"/>
        <w:rPr>
          <w:rFonts w:hint="eastAsia" w:ascii="宋体" w:hAnsi="宋体" w:cs="宋体"/>
          <w:kern w:val="0"/>
          <w:sz w:val="24"/>
          <w:szCs w:val="24"/>
        </w:rPr>
      </w:pPr>
      <w:r>
        <w:rPr>
          <w:rFonts w:hint="eastAsia" w:ascii="宋体" w:hAnsi="宋体" w:cs="宋体"/>
          <w:kern w:val="0"/>
          <w:sz w:val="24"/>
          <w:szCs w:val="24"/>
        </w:rPr>
        <w:t>上述担保无反担保，云变电气其他股东对上述担保未提供对应比例的担保。</w:t>
      </w:r>
    </w:p>
    <w:p w14:paraId="23E98806">
      <w:pPr>
        <w:autoSpaceDE w:val="0"/>
        <w:autoSpaceDN w:val="0"/>
        <w:adjustRightInd w:val="0"/>
        <w:spacing w:line="560" w:lineRule="exact"/>
        <w:ind w:firstLine="480"/>
        <w:rPr>
          <w:rFonts w:hint="eastAsia" w:ascii="宋体" w:hAnsi="宋体" w:cs="宋体"/>
          <w:kern w:val="0"/>
          <w:sz w:val="24"/>
          <w:szCs w:val="24"/>
        </w:rPr>
      </w:pPr>
      <w:r>
        <w:rPr>
          <w:rFonts w:hint="eastAsia" w:ascii="宋体" w:hAnsi="宋体" w:cs="宋体"/>
          <w:kern w:val="0"/>
          <w:sz w:val="24"/>
          <w:szCs w:val="24"/>
        </w:rPr>
        <w:t>上述担保事项属于公司2024年第三次临时股东会授权范围并在有效期内，无需再次提交公司董事会、股东会审议。</w:t>
      </w:r>
    </w:p>
    <w:p w14:paraId="52309438">
      <w:pPr>
        <w:autoSpaceDE w:val="0"/>
        <w:autoSpaceDN w:val="0"/>
        <w:adjustRightInd w:val="0"/>
        <w:spacing w:line="560" w:lineRule="exact"/>
        <w:rPr>
          <w:rFonts w:hint="eastAsia" w:ascii="宋体" w:hAnsi="宋体" w:cs="宋体"/>
          <w:kern w:val="0"/>
          <w:sz w:val="24"/>
          <w:szCs w:val="24"/>
        </w:rPr>
      </w:pPr>
      <w:r>
        <w:rPr>
          <w:rFonts w:hint="eastAsia" w:ascii="宋体" w:hAnsi="宋体" w:cs="宋体"/>
          <w:kern w:val="0"/>
          <w:sz w:val="24"/>
          <w:szCs w:val="24"/>
        </w:rPr>
        <w:t>（三）担保预计的实际发生情况</w:t>
      </w:r>
    </w:p>
    <w:p w14:paraId="3A6BE4F3">
      <w:pPr>
        <w:autoSpaceDE w:val="0"/>
        <w:autoSpaceDN w:val="0"/>
        <w:adjustRightInd w:val="0"/>
        <w:spacing w:line="560" w:lineRule="exact"/>
        <w:ind w:firstLine="480"/>
        <w:rPr>
          <w:rFonts w:hint="eastAsia" w:ascii="宋体" w:hAnsi="宋体" w:cs="宋体"/>
          <w:kern w:val="0"/>
          <w:sz w:val="24"/>
          <w:szCs w:val="24"/>
        </w:rPr>
      </w:pPr>
      <w:r>
        <w:rPr>
          <w:rFonts w:hint="eastAsia" w:ascii="宋体" w:hAnsi="宋体" w:cs="宋体"/>
          <w:kern w:val="0"/>
          <w:sz w:val="24"/>
          <w:szCs w:val="24"/>
        </w:rPr>
        <w:t>截止2025年1月末，公司对外担保的实际发生情况如下：</w:t>
      </w:r>
    </w:p>
    <w:tbl>
      <w:tblPr>
        <w:tblStyle w:val="104"/>
        <w:tblW w:w="5157" w:type="pct"/>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7"/>
        <w:gridCol w:w="1041"/>
        <w:gridCol w:w="879"/>
        <w:gridCol w:w="1058"/>
        <w:gridCol w:w="1140"/>
        <w:gridCol w:w="1071"/>
        <w:gridCol w:w="1144"/>
        <w:gridCol w:w="658"/>
        <w:gridCol w:w="620"/>
      </w:tblGrid>
      <w:tr w14:paraId="5E253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956" w:type="dxa"/>
            <w:vAlign w:val="center"/>
          </w:tcPr>
          <w:p w14:paraId="1668ACD4">
            <w:pPr>
              <w:pStyle w:val="105"/>
              <w:jc w:val="center"/>
              <w:rPr>
                <w:rFonts w:hint="eastAsia" w:ascii="宋体" w:hAnsi="宋体" w:eastAsia="宋体"/>
                <w:b/>
                <w:bCs/>
                <w:sz w:val="21"/>
                <w:szCs w:val="21"/>
                <w:lang w:eastAsia="zh-CN"/>
              </w:rPr>
            </w:pPr>
            <w:r>
              <w:rPr>
                <w:rFonts w:hint="eastAsia" w:ascii="宋体" w:hAnsi="宋体" w:eastAsia="宋体"/>
                <w:b/>
                <w:bCs/>
                <w:sz w:val="21"/>
                <w:szCs w:val="21"/>
              </w:rPr>
              <w:t>担保</w:t>
            </w:r>
            <w:r>
              <w:rPr>
                <w:rFonts w:hint="eastAsia" w:ascii="宋体" w:hAnsi="宋体" w:eastAsia="宋体"/>
                <w:b/>
                <w:bCs/>
                <w:sz w:val="21"/>
                <w:szCs w:val="21"/>
                <w:lang w:eastAsia="zh-CN"/>
              </w:rPr>
              <w:t>方</w:t>
            </w:r>
          </w:p>
        </w:tc>
        <w:tc>
          <w:tcPr>
            <w:tcW w:w="1040" w:type="dxa"/>
            <w:vAlign w:val="center"/>
          </w:tcPr>
          <w:p w14:paraId="50EA1460">
            <w:pPr>
              <w:pStyle w:val="105"/>
              <w:jc w:val="center"/>
              <w:rPr>
                <w:rFonts w:hint="eastAsia" w:ascii="宋体" w:hAnsi="宋体" w:eastAsia="宋体"/>
                <w:b/>
                <w:bCs/>
                <w:sz w:val="21"/>
                <w:szCs w:val="21"/>
                <w:lang w:eastAsia="zh-CN"/>
              </w:rPr>
            </w:pPr>
            <w:r>
              <w:rPr>
                <w:rFonts w:hint="eastAsia" w:ascii="宋体" w:hAnsi="宋体" w:eastAsia="宋体"/>
                <w:b/>
                <w:bCs/>
                <w:sz w:val="21"/>
                <w:szCs w:val="21"/>
              </w:rPr>
              <w:t>被担保</w:t>
            </w:r>
            <w:r>
              <w:rPr>
                <w:rFonts w:hint="eastAsia" w:ascii="宋体" w:hAnsi="宋体" w:eastAsia="宋体"/>
                <w:b/>
                <w:bCs/>
                <w:sz w:val="21"/>
                <w:szCs w:val="21"/>
                <w:lang w:eastAsia="zh-CN"/>
              </w:rPr>
              <w:t>方</w:t>
            </w:r>
          </w:p>
        </w:tc>
        <w:tc>
          <w:tcPr>
            <w:tcW w:w="879" w:type="dxa"/>
            <w:vAlign w:val="center"/>
          </w:tcPr>
          <w:p w14:paraId="5F76ECB5">
            <w:pPr>
              <w:pStyle w:val="105"/>
              <w:jc w:val="center"/>
              <w:rPr>
                <w:rFonts w:hint="eastAsia" w:ascii="宋体" w:hAnsi="宋体" w:eastAsia="宋体"/>
                <w:b/>
                <w:bCs/>
                <w:sz w:val="21"/>
                <w:szCs w:val="21"/>
              </w:rPr>
            </w:pPr>
            <w:r>
              <w:rPr>
                <w:rFonts w:hint="eastAsia" w:ascii="宋体" w:hAnsi="宋体" w:eastAsia="宋体"/>
                <w:b/>
                <w:bCs/>
                <w:sz w:val="21"/>
                <w:szCs w:val="21"/>
              </w:rPr>
              <w:t>担保方持股比例</w:t>
            </w:r>
          </w:p>
        </w:tc>
        <w:tc>
          <w:tcPr>
            <w:tcW w:w="1057" w:type="dxa"/>
            <w:vAlign w:val="center"/>
          </w:tcPr>
          <w:p w14:paraId="59E1C193">
            <w:pPr>
              <w:pStyle w:val="105"/>
              <w:jc w:val="center"/>
              <w:rPr>
                <w:rFonts w:hint="eastAsia" w:ascii="宋体" w:hAnsi="宋体" w:eastAsia="宋体"/>
                <w:b/>
                <w:bCs/>
                <w:sz w:val="21"/>
                <w:szCs w:val="21"/>
                <w:lang w:eastAsia="zh-CN"/>
              </w:rPr>
            </w:pPr>
            <w:r>
              <w:rPr>
                <w:rFonts w:hint="eastAsia" w:ascii="宋体" w:hAnsi="宋体" w:eastAsia="宋体"/>
                <w:b/>
                <w:bCs/>
                <w:sz w:val="21"/>
                <w:szCs w:val="21"/>
                <w:lang w:eastAsia="zh-CN"/>
              </w:rPr>
              <w:t>截止2024.09.30被担保方资产负债率</w:t>
            </w:r>
          </w:p>
        </w:tc>
        <w:tc>
          <w:tcPr>
            <w:tcW w:w="1139" w:type="dxa"/>
            <w:vAlign w:val="center"/>
          </w:tcPr>
          <w:p w14:paraId="61335F89">
            <w:pPr>
              <w:pStyle w:val="105"/>
              <w:jc w:val="center"/>
              <w:rPr>
                <w:rFonts w:hint="eastAsia" w:ascii="宋体" w:hAnsi="宋体" w:eastAsia="宋体"/>
                <w:b/>
                <w:bCs/>
                <w:sz w:val="21"/>
                <w:szCs w:val="21"/>
                <w:lang w:eastAsia="zh-CN"/>
              </w:rPr>
            </w:pPr>
            <w:r>
              <w:rPr>
                <w:rFonts w:hint="eastAsia" w:ascii="宋体" w:hAnsi="宋体" w:eastAsia="宋体"/>
                <w:b/>
                <w:bCs/>
                <w:sz w:val="21"/>
                <w:szCs w:val="21"/>
                <w:lang w:eastAsia="zh-CN"/>
              </w:rPr>
              <w:t>2025年预计担保额度</w:t>
            </w:r>
          </w:p>
          <w:p w14:paraId="0B6ABA87">
            <w:pPr>
              <w:pStyle w:val="105"/>
              <w:jc w:val="center"/>
              <w:rPr>
                <w:rFonts w:hint="eastAsia" w:ascii="宋体" w:hAnsi="宋体" w:eastAsia="宋体"/>
                <w:b/>
                <w:bCs/>
                <w:sz w:val="21"/>
                <w:szCs w:val="21"/>
                <w:lang w:eastAsia="zh-CN"/>
              </w:rPr>
            </w:pPr>
            <w:r>
              <w:rPr>
                <w:rFonts w:hint="eastAsia" w:ascii="宋体" w:hAnsi="宋体" w:eastAsia="宋体"/>
                <w:b/>
                <w:bCs/>
                <w:sz w:val="21"/>
                <w:szCs w:val="21"/>
                <w:lang w:eastAsia="zh-CN"/>
              </w:rPr>
              <w:t>（万元）</w:t>
            </w:r>
          </w:p>
        </w:tc>
        <w:tc>
          <w:tcPr>
            <w:tcW w:w="1070" w:type="dxa"/>
            <w:vAlign w:val="center"/>
          </w:tcPr>
          <w:p w14:paraId="2CDDCB38">
            <w:pPr>
              <w:pStyle w:val="105"/>
              <w:jc w:val="center"/>
              <w:rPr>
                <w:rFonts w:hint="eastAsia" w:ascii="宋体" w:hAnsi="宋体" w:eastAsia="宋体"/>
                <w:b/>
                <w:bCs/>
                <w:sz w:val="21"/>
                <w:szCs w:val="21"/>
                <w:lang w:eastAsia="zh-CN"/>
              </w:rPr>
            </w:pPr>
            <w:r>
              <w:rPr>
                <w:rFonts w:hint="eastAsia" w:ascii="宋体" w:hAnsi="宋体" w:eastAsia="宋体"/>
                <w:b/>
                <w:bCs/>
                <w:sz w:val="21"/>
                <w:szCs w:val="21"/>
                <w:lang w:eastAsia="zh-CN"/>
              </w:rPr>
              <w:t>截至2025年1月末累计担保总额</w:t>
            </w:r>
          </w:p>
          <w:p w14:paraId="37383B46">
            <w:pPr>
              <w:pStyle w:val="105"/>
              <w:jc w:val="center"/>
              <w:rPr>
                <w:rFonts w:hint="eastAsia" w:ascii="宋体" w:hAnsi="宋体" w:eastAsia="宋体"/>
                <w:b/>
                <w:bCs/>
                <w:sz w:val="21"/>
                <w:szCs w:val="21"/>
                <w:lang w:eastAsia="zh-CN"/>
              </w:rPr>
            </w:pPr>
            <w:r>
              <w:rPr>
                <w:rFonts w:hint="eastAsia" w:ascii="宋体" w:hAnsi="宋体" w:eastAsia="宋体"/>
                <w:b/>
                <w:bCs/>
                <w:sz w:val="21"/>
                <w:szCs w:val="21"/>
                <w:lang w:eastAsia="zh-CN"/>
              </w:rPr>
              <w:t>（万</w:t>
            </w:r>
            <w:r>
              <w:rPr>
                <w:rFonts w:hint="eastAsia" w:ascii="宋体" w:hAnsi="宋体" w:eastAsia="宋体"/>
                <w:b/>
                <w:bCs/>
                <w:spacing w:val="-7"/>
                <w:sz w:val="21"/>
                <w:szCs w:val="21"/>
                <w:lang w:eastAsia="zh-CN"/>
              </w:rPr>
              <w:t>元）</w:t>
            </w:r>
          </w:p>
        </w:tc>
        <w:tc>
          <w:tcPr>
            <w:tcW w:w="1143" w:type="dxa"/>
            <w:vAlign w:val="center"/>
          </w:tcPr>
          <w:p w14:paraId="25E4629B">
            <w:pPr>
              <w:pStyle w:val="105"/>
              <w:jc w:val="center"/>
              <w:rPr>
                <w:rFonts w:hint="eastAsia" w:ascii="宋体" w:hAnsi="宋体" w:eastAsia="宋体"/>
                <w:b/>
                <w:bCs/>
                <w:sz w:val="21"/>
                <w:szCs w:val="21"/>
                <w:lang w:eastAsia="zh-CN"/>
              </w:rPr>
            </w:pPr>
            <w:r>
              <w:rPr>
                <w:rFonts w:hint="eastAsia" w:ascii="宋体" w:hAnsi="宋体" w:eastAsia="宋体"/>
                <w:b/>
                <w:bCs/>
                <w:sz w:val="21"/>
                <w:szCs w:val="21"/>
                <w:lang w:eastAsia="zh-CN"/>
              </w:rPr>
              <w:t>截至2025年1月末担保余额</w:t>
            </w:r>
          </w:p>
          <w:p w14:paraId="3DDB86F6">
            <w:pPr>
              <w:pStyle w:val="105"/>
              <w:jc w:val="center"/>
              <w:rPr>
                <w:rFonts w:hint="eastAsia" w:ascii="宋体" w:hAnsi="宋体" w:eastAsia="宋体"/>
                <w:b/>
                <w:bCs/>
                <w:sz w:val="21"/>
                <w:szCs w:val="21"/>
                <w:lang w:eastAsia="zh-CN"/>
              </w:rPr>
            </w:pPr>
            <w:r>
              <w:rPr>
                <w:rFonts w:hint="eastAsia" w:ascii="宋体" w:hAnsi="宋体" w:eastAsia="宋体"/>
                <w:b/>
                <w:bCs/>
                <w:sz w:val="21"/>
                <w:szCs w:val="21"/>
                <w:lang w:eastAsia="zh-CN"/>
              </w:rPr>
              <w:t>（万元）</w:t>
            </w:r>
          </w:p>
        </w:tc>
        <w:tc>
          <w:tcPr>
            <w:tcW w:w="658" w:type="dxa"/>
            <w:vAlign w:val="center"/>
          </w:tcPr>
          <w:p w14:paraId="3919B96B">
            <w:pPr>
              <w:pStyle w:val="105"/>
              <w:jc w:val="center"/>
              <w:rPr>
                <w:rFonts w:hint="eastAsia" w:ascii="宋体" w:hAnsi="宋体" w:eastAsia="宋体"/>
                <w:b/>
                <w:bCs/>
                <w:sz w:val="21"/>
                <w:szCs w:val="21"/>
                <w:lang w:eastAsia="zh-CN"/>
              </w:rPr>
            </w:pPr>
            <w:r>
              <w:rPr>
                <w:rFonts w:hint="eastAsia" w:ascii="宋体" w:hAnsi="宋体" w:eastAsia="宋体"/>
                <w:b/>
                <w:bCs/>
                <w:sz w:val="21"/>
                <w:szCs w:val="21"/>
                <w:lang w:eastAsia="zh-CN"/>
              </w:rPr>
              <w:t>是否关联担保</w:t>
            </w:r>
          </w:p>
        </w:tc>
        <w:tc>
          <w:tcPr>
            <w:tcW w:w="619" w:type="dxa"/>
            <w:vAlign w:val="center"/>
          </w:tcPr>
          <w:p w14:paraId="32CFD9D3">
            <w:pPr>
              <w:pStyle w:val="105"/>
              <w:jc w:val="center"/>
              <w:rPr>
                <w:rFonts w:hint="eastAsia" w:ascii="宋体" w:hAnsi="宋体" w:eastAsia="宋体"/>
                <w:b/>
                <w:bCs/>
                <w:sz w:val="21"/>
                <w:szCs w:val="21"/>
              </w:rPr>
            </w:pPr>
            <w:r>
              <w:rPr>
                <w:rFonts w:hint="eastAsia" w:ascii="宋体" w:hAnsi="宋体" w:eastAsia="宋体"/>
                <w:b/>
                <w:bCs/>
                <w:sz w:val="21"/>
                <w:szCs w:val="21"/>
              </w:rPr>
              <w:t>是否有反担保</w:t>
            </w:r>
          </w:p>
        </w:tc>
      </w:tr>
      <w:tr w14:paraId="233CD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956" w:type="dxa"/>
            <w:vAlign w:val="center"/>
          </w:tcPr>
          <w:p w14:paraId="04C5B055">
            <w:pPr>
              <w:pStyle w:val="105"/>
              <w:jc w:val="center"/>
              <w:rPr>
                <w:rFonts w:hint="eastAsia" w:ascii="宋体" w:hAnsi="宋体" w:eastAsia="宋体"/>
                <w:sz w:val="21"/>
                <w:szCs w:val="21"/>
              </w:rPr>
            </w:pPr>
            <w:r>
              <w:rPr>
                <w:rFonts w:hint="eastAsia" w:ascii="宋体" w:hAnsi="宋体" w:eastAsia="宋体"/>
                <w:sz w:val="21"/>
                <w:szCs w:val="21"/>
              </w:rPr>
              <w:t>望变电气</w:t>
            </w:r>
          </w:p>
        </w:tc>
        <w:tc>
          <w:tcPr>
            <w:tcW w:w="1040" w:type="dxa"/>
            <w:vAlign w:val="center"/>
          </w:tcPr>
          <w:p w14:paraId="57C18943">
            <w:pPr>
              <w:pStyle w:val="105"/>
              <w:jc w:val="center"/>
              <w:rPr>
                <w:rFonts w:hint="eastAsia" w:ascii="宋体" w:hAnsi="宋体" w:eastAsia="宋体"/>
                <w:sz w:val="21"/>
                <w:szCs w:val="21"/>
              </w:rPr>
            </w:pPr>
            <w:r>
              <w:rPr>
                <w:rFonts w:hint="eastAsia" w:ascii="宋体" w:hAnsi="宋体" w:eastAsia="宋体"/>
                <w:sz w:val="21"/>
                <w:szCs w:val="21"/>
              </w:rPr>
              <w:t>黔南望江</w:t>
            </w:r>
          </w:p>
        </w:tc>
        <w:tc>
          <w:tcPr>
            <w:tcW w:w="879" w:type="dxa"/>
            <w:vAlign w:val="center"/>
          </w:tcPr>
          <w:p w14:paraId="4A7F08E9">
            <w:pPr>
              <w:pStyle w:val="105"/>
              <w:jc w:val="right"/>
              <w:rPr>
                <w:rFonts w:hint="eastAsia" w:ascii="宋体" w:hAnsi="宋体" w:eastAsia="宋体"/>
                <w:sz w:val="21"/>
                <w:szCs w:val="21"/>
              </w:rPr>
            </w:pPr>
            <w:r>
              <w:rPr>
                <w:rFonts w:hint="eastAsia" w:ascii="宋体" w:hAnsi="宋体" w:eastAsia="宋体"/>
                <w:sz w:val="21"/>
                <w:szCs w:val="21"/>
              </w:rPr>
              <w:t>100</w:t>
            </w:r>
            <w:r>
              <w:rPr>
                <w:rFonts w:hint="eastAsia" w:ascii="宋体" w:hAnsi="宋体" w:eastAsia="宋体"/>
                <w:sz w:val="21"/>
                <w:szCs w:val="21"/>
                <w:lang w:eastAsia="zh-CN"/>
              </w:rPr>
              <w:t>.00</w:t>
            </w:r>
            <w:r>
              <w:rPr>
                <w:rFonts w:hint="eastAsia" w:ascii="宋体" w:hAnsi="宋体" w:eastAsia="宋体"/>
                <w:sz w:val="21"/>
                <w:szCs w:val="21"/>
              </w:rPr>
              <w:t>%</w:t>
            </w:r>
          </w:p>
        </w:tc>
        <w:tc>
          <w:tcPr>
            <w:tcW w:w="1057" w:type="dxa"/>
            <w:vAlign w:val="center"/>
          </w:tcPr>
          <w:p w14:paraId="07B294D4">
            <w:pPr>
              <w:widowControl/>
              <w:jc w:val="right"/>
              <w:textAlignment w:val="center"/>
              <w:rPr>
                <w:rFonts w:hint="eastAsia" w:ascii="宋体" w:hAnsi="宋体"/>
                <w:szCs w:val="21"/>
              </w:rPr>
            </w:pPr>
            <w:r>
              <w:rPr>
                <w:rFonts w:hint="eastAsia" w:asciiTheme="minorEastAsia" w:hAnsiTheme="minorEastAsia" w:eastAsiaTheme="minorEastAsia" w:cstheme="minorEastAsia"/>
                <w:kern w:val="0"/>
                <w:sz w:val="20"/>
                <w:szCs w:val="20"/>
              </w:rPr>
              <w:t>77.25</w:t>
            </w:r>
            <w:r>
              <w:rPr>
                <w:rFonts w:hint="eastAsia" w:ascii="宋体" w:hAnsi="宋体" w:cs="宋体"/>
                <w:color w:val="000000"/>
                <w:kern w:val="0"/>
                <w:szCs w:val="21"/>
                <w:lang w:bidi="ar"/>
              </w:rPr>
              <w:t>%</w:t>
            </w:r>
          </w:p>
        </w:tc>
        <w:tc>
          <w:tcPr>
            <w:tcW w:w="1139" w:type="dxa"/>
            <w:vAlign w:val="center"/>
          </w:tcPr>
          <w:p w14:paraId="0B659174">
            <w:pPr>
              <w:pStyle w:val="105"/>
              <w:jc w:val="right"/>
              <w:rPr>
                <w:rFonts w:hint="eastAsia" w:ascii="宋体" w:hAnsi="宋体" w:eastAsia="宋体"/>
                <w:sz w:val="21"/>
                <w:szCs w:val="21"/>
                <w:lang w:eastAsia="zh-CN"/>
              </w:rPr>
            </w:pPr>
            <w:r>
              <w:rPr>
                <w:rFonts w:ascii="宋体" w:hAnsi="宋体" w:eastAsia="宋体"/>
                <w:sz w:val="21"/>
                <w:szCs w:val="21"/>
                <w:lang w:eastAsia="zh-CN"/>
              </w:rPr>
              <w:t>2</w:t>
            </w:r>
            <w:r>
              <w:rPr>
                <w:rFonts w:hint="eastAsia" w:ascii="宋体" w:hAnsi="宋体" w:eastAsia="宋体"/>
                <w:sz w:val="21"/>
                <w:szCs w:val="21"/>
                <w:lang w:eastAsia="zh-CN"/>
              </w:rPr>
              <w:t>0</w:t>
            </w:r>
            <w:r>
              <w:rPr>
                <w:rFonts w:ascii="宋体" w:hAnsi="宋体" w:eastAsia="宋体"/>
                <w:sz w:val="21"/>
                <w:szCs w:val="21"/>
                <w:lang w:eastAsia="zh-CN"/>
              </w:rPr>
              <w:t>,000</w:t>
            </w:r>
            <w:r>
              <w:rPr>
                <w:rFonts w:hint="eastAsia" w:ascii="宋体" w:hAnsi="宋体" w:eastAsia="宋体"/>
                <w:sz w:val="21"/>
                <w:szCs w:val="21"/>
                <w:lang w:eastAsia="zh-CN"/>
              </w:rPr>
              <w:t>.00</w:t>
            </w:r>
          </w:p>
        </w:tc>
        <w:tc>
          <w:tcPr>
            <w:tcW w:w="1070" w:type="dxa"/>
            <w:vAlign w:val="center"/>
          </w:tcPr>
          <w:p w14:paraId="52CD0D85">
            <w:pPr>
              <w:pStyle w:val="105"/>
              <w:jc w:val="right"/>
              <w:rPr>
                <w:rFonts w:hint="eastAsia" w:ascii="宋体" w:hAnsi="宋体" w:eastAsia="宋体"/>
                <w:sz w:val="21"/>
                <w:szCs w:val="21"/>
                <w:lang w:eastAsia="zh-CN"/>
              </w:rPr>
            </w:pPr>
            <w:r>
              <w:rPr>
                <w:rFonts w:hint="eastAsia" w:ascii="宋体" w:hAnsi="宋体" w:eastAsia="宋体"/>
                <w:sz w:val="21"/>
                <w:szCs w:val="21"/>
                <w:lang w:eastAsia="zh-CN"/>
              </w:rPr>
              <w:t>11,000.00</w:t>
            </w:r>
          </w:p>
        </w:tc>
        <w:tc>
          <w:tcPr>
            <w:tcW w:w="1143" w:type="dxa"/>
            <w:vAlign w:val="center"/>
          </w:tcPr>
          <w:p w14:paraId="27A08C93">
            <w:pPr>
              <w:pStyle w:val="105"/>
              <w:jc w:val="right"/>
              <w:rPr>
                <w:rFonts w:hint="eastAsia" w:ascii="宋体" w:hAnsi="宋体" w:eastAsia="宋体"/>
                <w:sz w:val="21"/>
                <w:szCs w:val="21"/>
                <w:lang w:eastAsia="zh-CN"/>
              </w:rPr>
            </w:pPr>
            <w:r>
              <w:rPr>
                <w:rFonts w:hint="eastAsia" w:ascii="宋体" w:hAnsi="宋体" w:eastAsia="宋体"/>
                <w:sz w:val="21"/>
                <w:szCs w:val="21"/>
                <w:lang w:eastAsia="zh-CN"/>
              </w:rPr>
              <w:t xml:space="preserve"> 4,405.13  </w:t>
            </w:r>
            <w:r>
              <w:rPr>
                <w:rFonts w:hint="eastAsia" w:ascii="宋体" w:hAnsi="宋体" w:eastAsia="宋体"/>
                <w:sz w:val="21"/>
                <w:szCs w:val="21"/>
              </w:rPr>
              <w:t xml:space="preserve"> </w:t>
            </w:r>
            <w:r>
              <w:rPr>
                <w:rFonts w:hint="eastAsia" w:ascii="宋体" w:hAnsi="宋体" w:eastAsia="宋体"/>
                <w:sz w:val="21"/>
                <w:szCs w:val="21"/>
                <w:lang w:eastAsia="zh-CN"/>
              </w:rPr>
              <w:t xml:space="preserve"> </w:t>
            </w:r>
          </w:p>
        </w:tc>
        <w:tc>
          <w:tcPr>
            <w:tcW w:w="658" w:type="dxa"/>
            <w:vAlign w:val="center"/>
          </w:tcPr>
          <w:p w14:paraId="71C673BA">
            <w:pPr>
              <w:pStyle w:val="105"/>
              <w:jc w:val="center"/>
              <w:rPr>
                <w:rFonts w:hint="eastAsia" w:ascii="宋体" w:hAnsi="宋体" w:eastAsia="宋体"/>
                <w:sz w:val="21"/>
                <w:szCs w:val="21"/>
              </w:rPr>
            </w:pPr>
            <w:r>
              <w:rPr>
                <w:rFonts w:hint="eastAsia" w:ascii="宋体" w:hAnsi="宋体" w:eastAsia="宋体"/>
                <w:sz w:val="21"/>
                <w:szCs w:val="21"/>
              </w:rPr>
              <w:t>否</w:t>
            </w:r>
          </w:p>
        </w:tc>
        <w:tc>
          <w:tcPr>
            <w:tcW w:w="619" w:type="dxa"/>
            <w:vAlign w:val="center"/>
          </w:tcPr>
          <w:p w14:paraId="33994A37">
            <w:pPr>
              <w:pStyle w:val="105"/>
              <w:jc w:val="center"/>
              <w:rPr>
                <w:rFonts w:hint="eastAsia" w:ascii="宋体" w:hAnsi="宋体" w:eastAsia="宋体"/>
                <w:sz w:val="21"/>
                <w:szCs w:val="21"/>
              </w:rPr>
            </w:pPr>
            <w:r>
              <w:rPr>
                <w:rFonts w:hint="eastAsia" w:ascii="宋体" w:hAnsi="宋体" w:eastAsia="宋体"/>
                <w:sz w:val="21"/>
                <w:szCs w:val="21"/>
              </w:rPr>
              <w:t>否</w:t>
            </w:r>
          </w:p>
        </w:tc>
      </w:tr>
      <w:tr w14:paraId="52002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956" w:type="dxa"/>
            <w:vAlign w:val="center"/>
          </w:tcPr>
          <w:p w14:paraId="2ECE6951">
            <w:pPr>
              <w:pStyle w:val="105"/>
              <w:jc w:val="center"/>
              <w:rPr>
                <w:rFonts w:hint="eastAsia" w:ascii="宋体" w:hAnsi="宋体" w:eastAsia="宋体"/>
                <w:sz w:val="21"/>
                <w:szCs w:val="21"/>
              </w:rPr>
            </w:pPr>
            <w:r>
              <w:rPr>
                <w:rFonts w:hint="eastAsia" w:ascii="宋体" w:hAnsi="宋体" w:eastAsia="宋体"/>
                <w:sz w:val="21"/>
                <w:szCs w:val="21"/>
              </w:rPr>
              <w:t>望变电气</w:t>
            </w:r>
          </w:p>
        </w:tc>
        <w:tc>
          <w:tcPr>
            <w:tcW w:w="1040" w:type="dxa"/>
            <w:vAlign w:val="center"/>
          </w:tcPr>
          <w:p w14:paraId="74F8D397">
            <w:pPr>
              <w:widowControl/>
              <w:kinsoku w:val="0"/>
              <w:autoSpaceDE w:val="0"/>
              <w:autoSpaceDN w:val="0"/>
              <w:adjustRightInd w:val="0"/>
              <w:snapToGrid w:val="0"/>
              <w:spacing w:line="560" w:lineRule="exact"/>
              <w:jc w:val="center"/>
              <w:textAlignment w:val="baseline"/>
              <w:rPr>
                <w:rFonts w:hint="eastAsia" w:ascii="宋体" w:hAnsi="宋体" w:cs="宋体"/>
                <w:szCs w:val="21"/>
              </w:rPr>
            </w:pPr>
            <w:r>
              <w:rPr>
                <w:rFonts w:hint="eastAsia" w:ascii="宋体" w:hAnsi="宋体" w:cs="宋体"/>
                <w:spacing w:val="-1"/>
                <w:szCs w:val="21"/>
              </w:rPr>
              <w:t>云变电气</w:t>
            </w:r>
          </w:p>
        </w:tc>
        <w:tc>
          <w:tcPr>
            <w:tcW w:w="879" w:type="dxa"/>
            <w:vAlign w:val="center"/>
          </w:tcPr>
          <w:p w14:paraId="24D96DE6">
            <w:pPr>
              <w:pStyle w:val="105"/>
              <w:jc w:val="right"/>
              <w:rPr>
                <w:rFonts w:hint="eastAsia" w:ascii="宋体" w:hAnsi="宋体" w:eastAsia="宋体"/>
                <w:sz w:val="21"/>
                <w:szCs w:val="21"/>
              </w:rPr>
            </w:pPr>
            <w:r>
              <w:rPr>
                <w:rFonts w:ascii="宋体" w:hAnsi="宋体" w:eastAsia="宋体"/>
                <w:sz w:val="21"/>
                <w:szCs w:val="21"/>
              </w:rPr>
              <w:t>79.97%</w:t>
            </w:r>
          </w:p>
        </w:tc>
        <w:tc>
          <w:tcPr>
            <w:tcW w:w="1057" w:type="dxa"/>
            <w:vAlign w:val="center"/>
          </w:tcPr>
          <w:p w14:paraId="4FDADEB5">
            <w:pPr>
              <w:widowControl/>
              <w:jc w:val="right"/>
              <w:textAlignment w:val="center"/>
              <w:rPr>
                <w:rFonts w:hint="eastAsia" w:ascii="宋体" w:hAnsi="宋体"/>
                <w:szCs w:val="21"/>
              </w:rPr>
            </w:pPr>
            <w:r>
              <w:rPr>
                <w:rFonts w:hint="eastAsia" w:ascii="宋体" w:hAnsi="宋体" w:cs="宋体"/>
                <w:color w:val="000000"/>
                <w:kern w:val="0"/>
                <w:szCs w:val="21"/>
                <w:lang w:bidi="ar"/>
              </w:rPr>
              <w:t>56.95%</w:t>
            </w:r>
          </w:p>
        </w:tc>
        <w:tc>
          <w:tcPr>
            <w:tcW w:w="1139" w:type="dxa"/>
            <w:vAlign w:val="center"/>
          </w:tcPr>
          <w:p w14:paraId="730CCECF">
            <w:pPr>
              <w:pStyle w:val="105"/>
              <w:jc w:val="right"/>
              <w:rPr>
                <w:rFonts w:hint="eastAsia" w:ascii="宋体" w:hAnsi="宋体" w:eastAsia="宋体"/>
                <w:sz w:val="21"/>
                <w:szCs w:val="21"/>
                <w:lang w:eastAsia="zh-CN"/>
              </w:rPr>
            </w:pPr>
            <w:r>
              <w:rPr>
                <w:rFonts w:hint="eastAsia" w:ascii="宋体" w:hAnsi="宋体" w:eastAsia="宋体"/>
                <w:sz w:val="21"/>
                <w:szCs w:val="21"/>
                <w:lang w:eastAsia="zh-CN"/>
              </w:rPr>
              <w:t>12</w:t>
            </w:r>
            <w:r>
              <w:rPr>
                <w:rFonts w:ascii="宋体" w:hAnsi="宋体" w:eastAsia="宋体"/>
                <w:sz w:val="21"/>
                <w:szCs w:val="21"/>
                <w:lang w:eastAsia="zh-CN"/>
              </w:rPr>
              <w:t>0,000</w:t>
            </w:r>
            <w:r>
              <w:rPr>
                <w:rFonts w:hint="eastAsia" w:ascii="宋体" w:hAnsi="宋体" w:eastAsia="宋体"/>
                <w:sz w:val="21"/>
                <w:szCs w:val="21"/>
                <w:lang w:eastAsia="zh-CN"/>
              </w:rPr>
              <w:t>.00</w:t>
            </w:r>
          </w:p>
        </w:tc>
        <w:tc>
          <w:tcPr>
            <w:tcW w:w="1070" w:type="dxa"/>
            <w:vAlign w:val="center"/>
          </w:tcPr>
          <w:p w14:paraId="1CFC3FCE">
            <w:pPr>
              <w:pStyle w:val="105"/>
              <w:jc w:val="right"/>
              <w:rPr>
                <w:rFonts w:hint="eastAsia" w:ascii="宋体" w:hAnsi="宋体" w:eastAsia="宋体"/>
                <w:sz w:val="21"/>
                <w:szCs w:val="21"/>
              </w:rPr>
            </w:pPr>
            <w:r>
              <w:rPr>
                <w:rFonts w:hint="eastAsia" w:ascii="宋体" w:hAnsi="宋体" w:eastAsia="宋体"/>
                <w:sz w:val="21"/>
                <w:szCs w:val="21"/>
                <w:lang w:eastAsia="zh-CN"/>
              </w:rPr>
              <w:t>35,5</w:t>
            </w:r>
            <w:r>
              <w:rPr>
                <w:rFonts w:hint="eastAsia" w:ascii="宋体" w:hAnsi="宋体" w:eastAsia="宋体"/>
                <w:sz w:val="21"/>
                <w:szCs w:val="21"/>
              </w:rPr>
              <w:t>00.00</w:t>
            </w:r>
          </w:p>
        </w:tc>
        <w:tc>
          <w:tcPr>
            <w:tcW w:w="1143" w:type="dxa"/>
            <w:vAlign w:val="center"/>
          </w:tcPr>
          <w:p w14:paraId="41833572">
            <w:pPr>
              <w:pStyle w:val="105"/>
              <w:jc w:val="right"/>
              <w:rPr>
                <w:rFonts w:hint="eastAsia" w:ascii="宋体" w:hAnsi="宋体" w:eastAsia="宋体"/>
                <w:sz w:val="21"/>
                <w:szCs w:val="21"/>
              </w:rPr>
            </w:pPr>
            <w:r>
              <w:rPr>
                <w:rFonts w:hint="eastAsia" w:ascii="宋体" w:hAnsi="宋体" w:eastAsia="宋体"/>
                <w:sz w:val="21"/>
                <w:szCs w:val="21"/>
                <w:lang w:eastAsia="zh-CN"/>
              </w:rPr>
              <w:t xml:space="preserve"> 25,121.45    </w:t>
            </w:r>
            <w:r>
              <w:rPr>
                <w:rFonts w:hint="eastAsia" w:ascii="宋体" w:hAnsi="宋体" w:eastAsia="宋体"/>
                <w:sz w:val="21"/>
                <w:szCs w:val="21"/>
              </w:rPr>
              <w:t xml:space="preserve"> </w:t>
            </w:r>
            <w:r>
              <w:rPr>
                <w:rFonts w:hint="eastAsia" w:ascii="宋体" w:hAnsi="宋体" w:eastAsia="宋体"/>
                <w:sz w:val="21"/>
                <w:szCs w:val="21"/>
                <w:lang w:eastAsia="zh-CN"/>
              </w:rPr>
              <w:t xml:space="preserve"> </w:t>
            </w:r>
          </w:p>
        </w:tc>
        <w:tc>
          <w:tcPr>
            <w:tcW w:w="658" w:type="dxa"/>
            <w:vAlign w:val="center"/>
          </w:tcPr>
          <w:p w14:paraId="74936808">
            <w:pPr>
              <w:pStyle w:val="105"/>
              <w:jc w:val="center"/>
              <w:rPr>
                <w:rFonts w:hint="eastAsia" w:ascii="宋体" w:hAnsi="宋体" w:eastAsia="宋体"/>
                <w:sz w:val="21"/>
                <w:szCs w:val="21"/>
              </w:rPr>
            </w:pPr>
            <w:r>
              <w:rPr>
                <w:rFonts w:hint="eastAsia" w:ascii="宋体" w:hAnsi="宋体" w:eastAsia="宋体"/>
                <w:sz w:val="21"/>
                <w:szCs w:val="21"/>
              </w:rPr>
              <w:t>否</w:t>
            </w:r>
          </w:p>
        </w:tc>
        <w:tc>
          <w:tcPr>
            <w:tcW w:w="619" w:type="dxa"/>
            <w:vAlign w:val="center"/>
          </w:tcPr>
          <w:p w14:paraId="1DA49165">
            <w:pPr>
              <w:pStyle w:val="105"/>
              <w:jc w:val="center"/>
              <w:rPr>
                <w:rFonts w:hint="eastAsia" w:ascii="宋体" w:hAnsi="宋体" w:eastAsia="宋体"/>
                <w:sz w:val="21"/>
                <w:szCs w:val="21"/>
              </w:rPr>
            </w:pPr>
            <w:r>
              <w:rPr>
                <w:rFonts w:hint="eastAsia" w:ascii="宋体" w:hAnsi="宋体" w:eastAsia="宋体"/>
                <w:sz w:val="21"/>
                <w:szCs w:val="21"/>
              </w:rPr>
              <w:t>否</w:t>
            </w:r>
          </w:p>
        </w:tc>
      </w:tr>
      <w:tr w14:paraId="2679C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956" w:type="dxa"/>
            <w:vAlign w:val="center"/>
          </w:tcPr>
          <w:p w14:paraId="55078313">
            <w:pPr>
              <w:pStyle w:val="105"/>
              <w:jc w:val="center"/>
              <w:rPr>
                <w:rFonts w:hint="eastAsia" w:ascii="宋体" w:hAnsi="宋体" w:eastAsia="宋体"/>
                <w:sz w:val="21"/>
                <w:szCs w:val="21"/>
              </w:rPr>
            </w:pPr>
            <w:r>
              <w:rPr>
                <w:rFonts w:hint="eastAsia" w:ascii="宋体" w:hAnsi="宋体" w:eastAsia="宋体"/>
                <w:sz w:val="21"/>
                <w:szCs w:val="21"/>
                <w:lang w:eastAsia="zh-CN"/>
              </w:rPr>
              <w:t>望变电气</w:t>
            </w:r>
          </w:p>
        </w:tc>
        <w:tc>
          <w:tcPr>
            <w:tcW w:w="1040" w:type="dxa"/>
            <w:vAlign w:val="center"/>
          </w:tcPr>
          <w:p w14:paraId="4C80D43C">
            <w:pPr>
              <w:widowControl/>
              <w:kinsoku w:val="0"/>
              <w:autoSpaceDE w:val="0"/>
              <w:autoSpaceDN w:val="0"/>
              <w:adjustRightInd w:val="0"/>
              <w:snapToGrid w:val="0"/>
              <w:spacing w:line="560" w:lineRule="exact"/>
              <w:jc w:val="center"/>
              <w:textAlignment w:val="baseline"/>
              <w:rPr>
                <w:rFonts w:hint="eastAsia" w:ascii="宋体" w:hAnsi="宋体" w:cs="宋体"/>
                <w:spacing w:val="-1"/>
                <w:szCs w:val="21"/>
              </w:rPr>
            </w:pPr>
            <w:r>
              <w:rPr>
                <w:rFonts w:hint="eastAsia" w:ascii="宋体" w:hAnsi="宋体"/>
                <w:szCs w:val="21"/>
              </w:rPr>
              <w:t>惠泽电器</w:t>
            </w:r>
          </w:p>
        </w:tc>
        <w:tc>
          <w:tcPr>
            <w:tcW w:w="879" w:type="dxa"/>
            <w:vAlign w:val="center"/>
          </w:tcPr>
          <w:p w14:paraId="6937FDCE">
            <w:pPr>
              <w:pStyle w:val="105"/>
              <w:jc w:val="right"/>
              <w:rPr>
                <w:rFonts w:hint="eastAsia" w:ascii="宋体" w:hAnsi="宋体" w:eastAsia="宋体"/>
                <w:sz w:val="21"/>
                <w:szCs w:val="21"/>
                <w:lang w:eastAsia="zh-CN"/>
              </w:rPr>
            </w:pPr>
            <w:r>
              <w:rPr>
                <w:rFonts w:hint="eastAsia" w:ascii="宋体" w:hAnsi="宋体" w:eastAsia="宋体"/>
                <w:sz w:val="21"/>
                <w:szCs w:val="21"/>
                <w:lang w:eastAsia="zh-CN"/>
              </w:rPr>
              <w:t>100.00%</w:t>
            </w:r>
          </w:p>
        </w:tc>
        <w:tc>
          <w:tcPr>
            <w:tcW w:w="1057" w:type="dxa"/>
            <w:vAlign w:val="center"/>
          </w:tcPr>
          <w:p w14:paraId="6E6C4A27">
            <w:pPr>
              <w:widowControl/>
              <w:jc w:val="right"/>
              <w:textAlignment w:val="center"/>
              <w:rPr>
                <w:rFonts w:hint="eastAsia" w:ascii="宋体" w:hAnsi="宋体"/>
                <w:szCs w:val="21"/>
              </w:rPr>
            </w:pPr>
            <w:r>
              <w:rPr>
                <w:rFonts w:hint="eastAsia" w:asciiTheme="minorEastAsia" w:hAnsiTheme="minorEastAsia" w:eastAsiaTheme="minorEastAsia" w:cstheme="minorEastAsia"/>
                <w:kern w:val="0"/>
                <w:sz w:val="20"/>
                <w:szCs w:val="20"/>
              </w:rPr>
              <w:t>93.73</w:t>
            </w:r>
            <w:r>
              <w:rPr>
                <w:rFonts w:hint="eastAsia" w:ascii="宋体" w:hAnsi="宋体" w:cs="宋体"/>
                <w:color w:val="000000"/>
                <w:kern w:val="0"/>
                <w:szCs w:val="21"/>
                <w:lang w:bidi="ar"/>
              </w:rPr>
              <w:t>%</w:t>
            </w:r>
          </w:p>
        </w:tc>
        <w:tc>
          <w:tcPr>
            <w:tcW w:w="1139" w:type="dxa"/>
            <w:vAlign w:val="center"/>
          </w:tcPr>
          <w:p w14:paraId="24B1EB89">
            <w:pPr>
              <w:pStyle w:val="105"/>
              <w:jc w:val="right"/>
              <w:rPr>
                <w:rFonts w:hint="eastAsia" w:ascii="宋体" w:hAnsi="宋体" w:eastAsia="宋体"/>
                <w:sz w:val="21"/>
                <w:szCs w:val="21"/>
                <w:lang w:eastAsia="zh-CN"/>
              </w:rPr>
            </w:pPr>
            <w:r>
              <w:rPr>
                <w:rFonts w:hint="eastAsia" w:ascii="宋体" w:hAnsi="宋体" w:eastAsia="宋体"/>
                <w:sz w:val="21"/>
                <w:szCs w:val="21"/>
                <w:lang w:eastAsia="zh-CN"/>
              </w:rPr>
              <w:t>10,000.00</w:t>
            </w:r>
          </w:p>
        </w:tc>
        <w:tc>
          <w:tcPr>
            <w:tcW w:w="1070" w:type="dxa"/>
            <w:vAlign w:val="center"/>
          </w:tcPr>
          <w:p w14:paraId="488CB4A2">
            <w:pPr>
              <w:pStyle w:val="105"/>
              <w:jc w:val="right"/>
              <w:rPr>
                <w:rFonts w:hint="eastAsia" w:ascii="宋体" w:hAnsi="宋体" w:eastAsia="宋体"/>
                <w:sz w:val="21"/>
                <w:szCs w:val="21"/>
                <w:lang w:eastAsia="zh-CN"/>
              </w:rPr>
            </w:pPr>
            <w:r>
              <w:rPr>
                <w:rFonts w:hint="eastAsia" w:ascii="宋体" w:hAnsi="宋体" w:eastAsia="宋体"/>
                <w:sz w:val="21"/>
                <w:szCs w:val="21"/>
                <w:lang w:eastAsia="zh-CN"/>
              </w:rPr>
              <w:t>0</w:t>
            </w:r>
          </w:p>
        </w:tc>
        <w:tc>
          <w:tcPr>
            <w:tcW w:w="1143" w:type="dxa"/>
            <w:vAlign w:val="center"/>
          </w:tcPr>
          <w:p w14:paraId="6B8B1D67">
            <w:pPr>
              <w:pStyle w:val="105"/>
              <w:jc w:val="right"/>
              <w:rPr>
                <w:rFonts w:hint="eastAsia" w:ascii="宋体" w:hAnsi="宋体" w:eastAsia="宋体"/>
                <w:sz w:val="21"/>
                <w:szCs w:val="21"/>
                <w:lang w:eastAsia="zh-CN"/>
              </w:rPr>
            </w:pPr>
            <w:r>
              <w:rPr>
                <w:rFonts w:hint="eastAsia" w:ascii="宋体" w:hAnsi="宋体" w:eastAsia="宋体"/>
                <w:sz w:val="21"/>
                <w:szCs w:val="21"/>
                <w:lang w:eastAsia="zh-CN"/>
              </w:rPr>
              <w:t xml:space="preserve">0   </w:t>
            </w:r>
          </w:p>
        </w:tc>
        <w:tc>
          <w:tcPr>
            <w:tcW w:w="658" w:type="dxa"/>
            <w:vAlign w:val="center"/>
          </w:tcPr>
          <w:p w14:paraId="3AD566D8">
            <w:pPr>
              <w:pStyle w:val="105"/>
              <w:jc w:val="center"/>
              <w:rPr>
                <w:rFonts w:hint="eastAsia" w:ascii="宋体" w:hAnsi="宋体" w:eastAsia="宋体"/>
                <w:sz w:val="21"/>
                <w:szCs w:val="21"/>
              </w:rPr>
            </w:pPr>
            <w:r>
              <w:rPr>
                <w:rFonts w:hint="eastAsia" w:ascii="宋体" w:hAnsi="宋体" w:eastAsia="宋体"/>
                <w:sz w:val="21"/>
                <w:szCs w:val="21"/>
              </w:rPr>
              <w:t>否</w:t>
            </w:r>
          </w:p>
        </w:tc>
        <w:tc>
          <w:tcPr>
            <w:tcW w:w="619" w:type="dxa"/>
            <w:vAlign w:val="center"/>
          </w:tcPr>
          <w:p w14:paraId="5EB1D662">
            <w:pPr>
              <w:pStyle w:val="105"/>
              <w:jc w:val="center"/>
              <w:rPr>
                <w:rFonts w:hint="eastAsia" w:ascii="宋体" w:hAnsi="宋体" w:eastAsia="宋体"/>
                <w:sz w:val="21"/>
                <w:szCs w:val="21"/>
              </w:rPr>
            </w:pPr>
            <w:r>
              <w:rPr>
                <w:rFonts w:hint="eastAsia" w:ascii="宋体" w:hAnsi="宋体" w:eastAsia="宋体"/>
                <w:sz w:val="21"/>
                <w:szCs w:val="21"/>
              </w:rPr>
              <w:t>否</w:t>
            </w:r>
          </w:p>
        </w:tc>
      </w:tr>
      <w:tr w14:paraId="21E58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1996" w:type="dxa"/>
            <w:gridSpan w:val="2"/>
            <w:vAlign w:val="center"/>
          </w:tcPr>
          <w:p w14:paraId="76A10EEC">
            <w:pPr>
              <w:jc w:val="center"/>
              <w:rPr>
                <w:rFonts w:hint="eastAsia" w:ascii="宋体" w:hAnsi="宋体" w:cs="宋体"/>
                <w:b/>
                <w:bCs/>
                <w:szCs w:val="21"/>
              </w:rPr>
            </w:pPr>
            <w:r>
              <w:rPr>
                <w:rFonts w:hint="eastAsia" w:ascii="宋体" w:hAnsi="宋体" w:cs="宋体"/>
                <w:b/>
                <w:bCs/>
                <w:spacing w:val="-2"/>
                <w:szCs w:val="21"/>
              </w:rPr>
              <w:t>合计</w:t>
            </w:r>
          </w:p>
        </w:tc>
        <w:tc>
          <w:tcPr>
            <w:tcW w:w="879" w:type="dxa"/>
            <w:vAlign w:val="center"/>
          </w:tcPr>
          <w:p w14:paraId="7998FFD3">
            <w:pPr>
              <w:pStyle w:val="105"/>
              <w:jc w:val="right"/>
              <w:rPr>
                <w:rFonts w:hint="eastAsia" w:ascii="宋体" w:hAnsi="宋体" w:eastAsia="宋体"/>
                <w:b/>
                <w:bCs/>
                <w:sz w:val="21"/>
                <w:szCs w:val="21"/>
              </w:rPr>
            </w:pPr>
            <w:r>
              <w:rPr>
                <w:rFonts w:hint="eastAsia" w:ascii="宋体" w:hAnsi="宋体" w:eastAsia="宋体"/>
                <w:b/>
                <w:bCs/>
                <w:sz w:val="21"/>
                <w:szCs w:val="21"/>
                <w:lang w:eastAsia="zh-CN"/>
              </w:rPr>
              <w:t>—</w:t>
            </w:r>
          </w:p>
        </w:tc>
        <w:tc>
          <w:tcPr>
            <w:tcW w:w="1057" w:type="dxa"/>
            <w:vAlign w:val="center"/>
          </w:tcPr>
          <w:p w14:paraId="6C58A2D6">
            <w:pPr>
              <w:pStyle w:val="105"/>
              <w:jc w:val="right"/>
              <w:rPr>
                <w:rFonts w:hint="eastAsia" w:ascii="宋体" w:hAnsi="宋体" w:eastAsia="宋体"/>
                <w:b/>
                <w:bCs/>
                <w:sz w:val="21"/>
                <w:szCs w:val="21"/>
              </w:rPr>
            </w:pPr>
            <w:r>
              <w:rPr>
                <w:rFonts w:hint="eastAsia" w:ascii="宋体" w:hAnsi="宋体" w:eastAsia="宋体"/>
                <w:b/>
                <w:bCs/>
                <w:sz w:val="21"/>
                <w:szCs w:val="21"/>
                <w:lang w:eastAsia="zh-CN"/>
              </w:rPr>
              <w:t>—</w:t>
            </w:r>
          </w:p>
        </w:tc>
        <w:tc>
          <w:tcPr>
            <w:tcW w:w="1139" w:type="dxa"/>
            <w:vAlign w:val="center"/>
          </w:tcPr>
          <w:p w14:paraId="2C95AE29">
            <w:pPr>
              <w:pStyle w:val="105"/>
              <w:jc w:val="right"/>
              <w:rPr>
                <w:rFonts w:hint="eastAsia" w:ascii="宋体" w:hAnsi="宋体" w:eastAsia="宋体"/>
                <w:b/>
                <w:bCs/>
                <w:sz w:val="21"/>
                <w:szCs w:val="21"/>
                <w:lang w:eastAsia="zh-CN"/>
              </w:rPr>
            </w:pPr>
            <w:r>
              <w:rPr>
                <w:rFonts w:hint="eastAsia" w:ascii="宋体" w:hAnsi="宋体" w:eastAsia="宋体"/>
                <w:b/>
                <w:bCs/>
                <w:sz w:val="21"/>
                <w:szCs w:val="21"/>
                <w:lang w:eastAsia="zh-CN"/>
              </w:rPr>
              <w:t>150,000.00</w:t>
            </w:r>
          </w:p>
        </w:tc>
        <w:tc>
          <w:tcPr>
            <w:tcW w:w="1070" w:type="dxa"/>
            <w:vAlign w:val="center"/>
          </w:tcPr>
          <w:p w14:paraId="0D55A9F3">
            <w:pPr>
              <w:pStyle w:val="105"/>
              <w:jc w:val="right"/>
              <w:rPr>
                <w:rFonts w:hint="eastAsia" w:ascii="宋体" w:hAnsi="宋体" w:eastAsia="宋体"/>
                <w:b/>
                <w:bCs/>
                <w:sz w:val="21"/>
                <w:szCs w:val="21"/>
              </w:rPr>
            </w:pPr>
            <w:r>
              <w:rPr>
                <w:rFonts w:hint="eastAsia" w:ascii="宋体" w:hAnsi="宋体" w:eastAsia="宋体"/>
                <w:b/>
                <w:bCs/>
                <w:sz w:val="21"/>
                <w:szCs w:val="21"/>
                <w:lang w:eastAsia="zh-CN"/>
              </w:rPr>
              <w:t>46</w:t>
            </w:r>
            <w:r>
              <w:rPr>
                <w:rFonts w:hint="eastAsia" w:ascii="宋体" w:hAnsi="宋体" w:eastAsia="宋体"/>
                <w:b/>
                <w:bCs/>
                <w:sz w:val="21"/>
                <w:szCs w:val="21"/>
              </w:rPr>
              <w:t>,</w:t>
            </w:r>
            <w:r>
              <w:rPr>
                <w:rFonts w:hint="eastAsia" w:ascii="宋体" w:hAnsi="宋体" w:eastAsia="宋体"/>
                <w:b/>
                <w:bCs/>
                <w:sz w:val="21"/>
                <w:szCs w:val="21"/>
                <w:lang w:eastAsia="zh-CN"/>
              </w:rPr>
              <w:t>5</w:t>
            </w:r>
            <w:r>
              <w:rPr>
                <w:rFonts w:hint="eastAsia" w:ascii="宋体" w:hAnsi="宋体" w:eastAsia="宋体"/>
                <w:b/>
                <w:bCs/>
                <w:sz w:val="21"/>
                <w:szCs w:val="21"/>
              </w:rPr>
              <w:t>00.00</w:t>
            </w:r>
          </w:p>
        </w:tc>
        <w:tc>
          <w:tcPr>
            <w:tcW w:w="1143" w:type="dxa"/>
            <w:vAlign w:val="center"/>
          </w:tcPr>
          <w:p w14:paraId="783B9FD8">
            <w:pPr>
              <w:pStyle w:val="105"/>
              <w:jc w:val="right"/>
              <w:rPr>
                <w:rFonts w:hint="eastAsia" w:ascii="宋体" w:hAnsi="宋体" w:eastAsia="宋体"/>
                <w:b/>
                <w:bCs/>
                <w:sz w:val="21"/>
                <w:szCs w:val="21"/>
              </w:rPr>
            </w:pPr>
            <w:r>
              <w:rPr>
                <w:rFonts w:hint="eastAsia" w:ascii="宋体" w:hAnsi="宋体" w:eastAsia="宋体"/>
                <w:b/>
                <w:bCs/>
                <w:sz w:val="21"/>
                <w:szCs w:val="21"/>
                <w:lang w:eastAsia="zh-CN"/>
              </w:rPr>
              <w:t xml:space="preserve"> 29,526.58    </w:t>
            </w:r>
            <w:r>
              <w:rPr>
                <w:rFonts w:hint="eastAsia" w:ascii="宋体" w:hAnsi="宋体" w:eastAsia="宋体"/>
                <w:b/>
                <w:bCs/>
                <w:sz w:val="21"/>
                <w:szCs w:val="21"/>
              </w:rPr>
              <w:t xml:space="preserve"> </w:t>
            </w:r>
            <w:r>
              <w:rPr>
                <w:rFonts w:hint="eastAsia" w:ascii="宋体" w:hAnsi="宋体" w:eastAsia="宋体"/>
                <w:b/>
                <w:bCs/>
                <w:sz w:val="21"/>
                <w:szCs w:val="21"/>
                <w:lang w:eastAsia="zh-CN"/>
              </w:rPr>
              <w:t xml:space="preserve"> </w:t>
            </w:r>
          </w:p>
        </w:tc>
        <w:tc>
          <w:tcPr>
            <w:tcW w:w="658" w:type="dxa"/>
            <w:vAlign w:val="center"/>
          </w:tcPr>
          <w:p w14:paraId="2D65E95F">
            <w:pPr>
              <w:pStyle w:val="105"/>
              <w:jc w:val="right"/>
              <w:rPr>
                <w:rFonts w:hint="eastAsia" w:ascii="宋体" w:hAnsi="宋体" w:eastAsia="宋体"/>
                <w:b/>
                <w:bCs/>
                <w:sz w:val="21"/>
                <w:szCs w:val="21"/>
                <w:lang w:eastAsia="zh-CN"/>
              </w:rPr>
            </w:pPr>
            <w:r>
              <w:rPr>
                <w:rFonts w:hint="eastAsia" w:ascii="宋体" w:hAnsi="宋体" w:eastAsia="宋体"/>
                <w:b/>
                <w:bCs/>
                <w:sz w:val="21"/>
                <w:szCs w:val="21"/>
                <w:lang w:eastAsia="zh-CN"/>
              </w:rPr>
              <w:t>-</w:t>
            </w:r>
          </w:p>
        </w:tc>
        <w:tc>
          <w:tcPr>
            <w:tcW w:w="619" w:type="dxa"/>
            <w:vAlign w:val="center"/>
          </w:tcPr>
          <w:p w14:paraId="1B8D54A3">
            <w:pPr>
              <w:pStyle w:val="105"/>
              <w:jc w:val="right"/>
              <w:rPr>
                <w:rFonts w:hint="eastAsia" w:ascii="宋体" w:hAnsi="宋体" w:eastAsia="宋体"/>
                <w:b/>
                <w:bCs/>
                <w:sz w:val="21"/>
                <w:szCs w:val="21"/>
              </w:rPr>
            </w:pPr>
            <w:r>
              <w:rPr>
                <w:rFonts w:hint="eastAsia" w:ascii="宋体" w:hAnsi="宋体" w:eastAsia="宋体"/>
                <w:b/>
                <w:bCs/>
                <w:sz w:val="21"/>
                <w:szCs w:val="21"/>
              </w:rPr>
              <w:t>-</w:t>
            </w:r>
          </w:p>
        </w:tc>
      </w:tr>
    </w:tbl>
    <w:p w14:paraId="73BE9953">
      <w:pPr>
        <w:spacing w:line="560" w:lineRule="exact"/>
        <w:rPr>
          <w:rFonts w:hint="eastAsia" w:ascii="宋体" w:hAnsi="宋体" w:cs="宋体"/>
          <w:kern w:val="0"/>
          <w:sz w:val="24"/>
          <w:szCs w:val="24"/>
          <w:highlight w:val="none"/>
        </w:rPr>
      </w:pPr>
    </w:p>
    <w:p w14:paraId="5BCA6F6C">
      <w:pPr>
        <w:numPr>
          <w:ilvl w:val="0"/>
          <w:numId w:val="14"/>
        </w:numPr>
        <w:autoSpaceDE w:val="0"/>
        <w:autoSpaceDN w:val="0"/>
        <w:adjustRightInd w:val="0"/>
        <w:spacing w:line="560" w:lineRule="exact"/>
        <w:rPr>
          <w:rFonts w:hint="eastAsia" w:ascii="宋体" w:hAnsi="宋体" w:cs="宋体"/>
          <w:b/>
          <w:sz w:val="24"/>
          <w:szCs w:val="24"/>
          <w:highlight w:val="none"/>
        </w:rPr>
      </w:pPr>
      <w:r>
        <w:rPr>
          <w:rFonts w:hint="eastAsia" w:ascii="宋体" w:hAnsi="宋体" w:cs="宋体"/>
          <w:b/>
          <w:sz w:val="24"/>
          <w:szCs w:val="24"/>
          <w:highlight w:val="none"/>
        </w:rPr>
        <w:t>被担保人基本情况</w:t>
      </w:r>
    </w:p>
    <w:p w14:paraId="33097C48">
      <w:pPr>
        <w:autoSpaceDE w:val="0"/>
        <w:autoSpaceDN w:val="0"/>
        <w:adjustRightInd w:val="0"/>
        <w:spacing w:line="560" w:lineRule="exact"/>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本月新增担保的被担保方</w:t>
      </w:r>
      <w:r>
        <w:rPr>
          <w:rFonts w:hint="eastAsia" w:ascii="宋体" w:hAnsi="宋体" w:cs="宋体"/>
          <w:bCs/>
          <w:snapToGrid w:val="0"/>
          <w:kern w:val="0"/>
          <w:sz w:val="24"/>
          <w:szCs w:val="24"/>
          <w:highlight w:val="none"/>
        </w:rPr>
        <w:t>云南变压器电气股份有限公司的基本情况如下：</w:t>
      </w:r>
    </w:p>
    <w:p w14:paraId="7A6FA206">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bCs/>
          <w:snapToGrid w:val="0"/>
          <w:kern w:val="0"/>
          <w:sz w:val="24"/>
          <w:szCs w:val="24"/>
          <w:highlight w:val="none"/>
        </w:rPr>
      </w:pPr>
      <w:r>
        <w:rPr>
          <w:rFonts w:hint="eastAsia" w:ascii="宋体" w:hAnsi="宋体" w:cs="宋体"/>
          <w:bCs/>
          <w:snapToGrid w:val="0"/>
          <w:kern w:val="0"/>
          <w:sz w:val="24"/>
          <w:szCs w:val="24"/>
          <w:highlight w:val="none"/>
        </w:rPr>
        <w:t xml:space="preserve">公司名称：云南变压器电气股份有限公司 </w:t>
      </w:r>
    </w:p>
    <w:p w14:paraId="71295D4B">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bCs/>
          <w:snapToGrid w:val="0"/>
          <w:kern w:val="0"/>
          <w:sz w:val="24"/>
          <w:szCs w:val="24"/>
          <w:highlight w:val="none"/>
        </w:rPr>
      </w:pPr>
      <w:r>
        <w:rPr>
          <w:rFonts w:hint="eastAsia" w:ascii="宋体" w:hAnsi="宋体" w:cs="宋体"/>
          <w:bCs/>
          <w:snapToGrid w:val="0"/>
          <w:kern w:val="0"/>
          <w:sz w:val="24"/>
          <w:szCs w:val="24"/>
          <w:highlight w:val="none"/>
        </w:rPr>
        <w:t>统一社会信用代码：91530000713402501X</w:t>
      </w:r>
    </w:p>
    <w:p w14:paraId="259CCD39">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bCs/>
          <w:snapToGrid w:val="0"/>
          <w:kern w:val="0"/>
          <w:sz w:val="24"/>
          <w:szCs w:val="24"/>
          <w:highlight w:val="none"/>
        </w:rPr>
      </w:pPr>
      <w:r>
        <w:rPr>
          <w:rFonts w:hint="eastAsia" w:ascii="宋体" w:hAnsi="宋体" w:cs="宋体"/>
          <w:bCs/>
          <w:snapToGrid w:val="0"/>
          <w:kern w:val="0"/>
          <w:sz w:val="24"/>
          <w:szCs w:val="24"/>
          <w:highlight w:val="none"/>
        </w:rPr>
        <w:t>成立时间：1999年01月23日</w:t>
      </w:r>
    </w:p>
    <w:p w14:paraId="76457314">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bCs/>
          <w:snapToGrid w:val="0"/>
          <w:kern w:val="0"/>
          <w:sz w:val="24"/>
          <w:szCs w:val="24"/>
          <w:highlight w:val="none"/>
        </w:rPr>
      </w:pPr>
      <w:r>
        <w:rPr>
          <w:rFonts w:hint="eastAsia" w:ascii="宋体" w:hAnsi="宋体" w:cs="宋体"/>
          <w:bCs/>
          <w:snapToGrid w:val="0"/>
          <w:kern w:val="0"/>
          <w:sz w:val="24"/>
          <w:szCs w:val="24"/>
          <w:highlight w:val="none"/>
        </w:rPr>
        <w:t xml:space="preserve">注册地点：中国（云南）自由贸易试验区昆明片区经开区洛羊街道办事处拓翔路212号 </w:t>
      </w:r>
    </w:p>
    <w:p w14:paraId="7FE60168">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bCs/>
          <w:snapToGrid w:val="0"/>
          <w:kern w:val="0"/>
          <w:sz w:val="24"/>
          <w:szCs w:val="24"/>
          <w:highlight w:val="none"/>
        </w:rPr>
      </w:pPr>
      <w:r>
        <w:rPr>
          <w:rFonts w:hint="eastAsia" w:ascii="宋体" w:hAnsi="宋体" w:cs="宋体"/>
          <w:bCs/>
          <w:snapToGrid w:val="0"/>
          <w:kern w:val="0"/>
          <w:sz w:val="24"/>
          <w:szCs w:val="24"/>
          <w:highlight w:val="none"/>
        </w:rPr>
        <w:t>法定代表人：肖斌</w:t>
      </w:r>
    </w:p>
    <w:p w14:paraId="26C3FC1D">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bCs/>
          <w:snapToGrid w:val="0"/>
          <w:kern w:val="0"/>
          <w:sz w:val="24"/>
          <w:szCs w:val="24"/>
          <w:highlight w:val="none"/>
        </w:rPr>
      </w:pPr>
      <w:r>
        <w:rPr>
          <w:rFonts w:hint="eastAsia" w:ascii="宋体" w:hAnsi="宋体" w:cs="宋体"/>
          <w:bCs/>
          <w:snapToGrid w:val="0"/>
          <w:kern w:val="0"/>
          <w:sz w:val="24"/>
          <w:szCs w:val="24"/>
          <w:highlight w:val="none"/>
        </w:rPr>
        <w:t>注册资本：人民币 10,041.3641万元</w:t>
      </w:r>
    </w:p>
    <w:p w14:paraId="1446BA02">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bCs/>
          <w:snapToGrid w:val="0"/>
          <w:kern w:val="0"/>
          <w:sz w:val="24"/>
          <w:szCs w:val="24"/>
          <w:highlight w:val="none"/>
        </w:rPr>
      </w:pPr>
      <w:r>
        <w:rPr>
          <w:rFonts w:hint="eastAsia" w:ascii="宋体" w:hAnsi="宋体" w:cs="宋体"/>
          <w:bCs/>
          <w:snapToGrid w:val="0"/>
          <w:kern w:val="0"/>
          <w:sz w:val="24"/>
          <w:szCs w:val="24"/>
          <w:highlight w:val="none"/>
        </w:rPr>
        <w:t>主要股东：公司持股79.97%</w:t>
      </w:r>
    </w:p>
    <w:p w14:paraId="4A9B3195">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bCs/>
          <w:snapToGrid w:val="0"/>
          <w:kern w:val="0"/>
          <w:sz w:val="24"/>
          <w:szCs w:val="24"/>
          <w:highlight w:val="none"/>
        </w:rPr>
      </w:pPr>
      <w:r>
        <w:rPr>
          <w:rFonts w:hint="eastAsia" w:ascii="宋体" w:hAnsi="宋体" w:cs="宋体"/>
          <w:bCs/>
          <w:snapToGrid w:val="0"/>
          <w:kern w:val="0"/>
          <w:sz w:val="24"/>
          <w:szCs w:val="24"/>
          <w:highlight w:val="none"/>
        </w:rPr>
        <w:t>经营范围：各种变压器的生产制造、销售；变压器产品生产所需的原辅助材料、电磁线、硅钢片、机械设备、仪器仪表、备品、备件、零配件、高低压开关柜、箱式变电站、电线电缆及相关技术，变压器修理，电子电器产品；货物进出口、技术进出口业务；电力工程施工总承包；电力设施承装（修、试）业务。</w:t>
      </w:r>
    </w:p>
    <w:p w14:paraId="61A7BF49">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bCs/>
          <w:snapToGrid w:val="0"/>
          <w:kern w:val="0"/>
          <w:sz w:val="24"/>
          <w:szCs w:val="24"/>
          <w:highlight w:val="none"/>
        </w:rPr>
      </w:pPr>
      <w:r>
        <w:rPr>
          <w:rFonts w:hint="eastAsia" w:ascii="宋体" w:hAnsi="宋体" w:cs="宋体"/>
          <w:bCs/>
          <w:snapToGrid w:val="0"/>
          <w:kern w:val="0"/>
          <w:sz w:val="24"/>
          <w:szCs w:val="24"/>
          <w:highlight w:val="none"/>
        </w:rPr>
        <w:t>最近一年及一期的财务数据：</w:t>
      </w:r>
    </w:p>
    <w:p w14:paraId="7832BC92">
      <w:pPr>
        <w:widowControl/>
        <w:kinsoku w:val="0"/>
        <w:autoSpaceDE w:val="0"/>
        <w:autoSpaceDN w:val="0"/>
        <w:adjustRightInd w:val="0"/>
        <w:snapToGrid w:val="0"/>
        <w:spacing w:line="560" w:lineRule="exact"/>
        <w:jc w:val="right"/>
        <w:textAlignment w:val="baseline"/>
        <w:rPr>
          <w:rFonts w:hint="eastAsia" w:ascii="宋体" w:hAnsi="宋体" w:cs="宋体"/>
          <w:bCs/>
          <w:snapToGrid w:val="0"/>
          <w:kern w:val="0"/>
          <w:szCs w:val="21"/>
          <w:highlight w:val="none"/>
          <w:lang w:eastAsia="en-US"/>
        </w:rPr>
      </w:pPr>
      <w:r>
        <w:rPr>
          <w:rFonts w:hint="eastAsia" w:ascii="宋体" w:hAnsi="宋体" w:cs="宋体"/>
          <w:bCs/>
          <w:snapToGrid w:val="0"/>
          <w:kern w:val="0"/>
          <w:szCs w:val="21"/>
          <w:highlight w:val="none"/>
        </w:rPr>
        <w:t xml:space="preserve">  </w:t>
      </w:r>
      <w:r>
        <w:rPr>
          <w:rFonts w:hint="eastAsia" w:ascii="宋体" w:hAnsi="宋体" w:cs="宋体"/>
          <w:bCs/>
          <w:snapToGrid w:val="0"/>
          <w:kern w:val="0"/>
          <w:szCs w:val="21"/>
          <w:highlight w:val="none"/>
          <w:lang w:eastAsia="en-US"/>
        </w:rPr>
        <w:t>单位：人民币/万元</w:t>
      </w:r>
    </w:p>
    <w:tbl>
      <w:tblPr>
        <w:tblStyle w:val="89"/>
        <w:tblpPr w:leftFromText="180" w:rightFromText="180" w:vertAnchor="text" w:horzAnchor="page" w:tblpX="1806" w:tblpY="226"/>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9"/>
        <w:gridCol w:w="3326"/>
        <w:gridCol w:w="3328"/>
      </w:tblGrid>
      <w:tr w14:paraId="0B757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92" w:type="pct"/>
          </w:tcPr>
          <w:p w14:paraId="5D8AB5C6">
            <w:pPr>
              <w:autoSpaceDE w:val="0"/>
              <w:autoSpaceDN w:val="0"/>
              <w:adjustRightInd w:val="0"/>
              <w:spacing w:line="560" w:lineRule="exact"/>
              <w:rPr>
                <w:rFonts w:hint="eastAsia"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财务指标</w:t>
            </w:r>
          </w:p>
        </w:tc>
        <w:tc>
          <w:tcPr>
            <w:tcW w:w="1953" w:type="pct"/>
            <w:vAlign w:val="center"/>
          </w:tcPr>
          <w:p w14:paraId="1D27FC8A">
            <w:pPr>
              <w:autoSpaceDE w:val="0"/>
              <w:autoSpaceDN w:val="0"/>
              <w:adjustRightInd w:val="0"/>
              <w:spacing w:line="560" w:lineRule="exact"/>
              <w:jc w:val="center"/>
              <w:rPr>
                <w:rFonts w:hint="default" w:ascii="宋体" w:hAnsi="宋体" w:eastAsia="宋体" w:cs="宋体"/>
                <w:b w:val="0"/>
                <w:bCs w:val="0"/>
                <w:kern w:val="0"/>
                <w:sz w:val="20"/>
                <w:szCs w:val="20"/>
                <w:highlight w:val="none"/>
                <w:lang w:val="en-US" w:eastAsia="zh-CN"/>
              </w:rPr>
            </w:pPr>
            <w:r>
              <w:rPr>
                <w:rFonts w:hint="eastAsia" w:ascii="宋体" w:hAnsi="宋体" w:cs="宋体"/>
                <w:b w:val="0"/>
                <w:bCs w:val="0"/>
                <w:kern w:val="0"/>
                <w:sz w:val="20"/>
                <w:szCs w:val="20"/>
                <w:highlight w:val="none"/>
                <w:lang w:val="en-US" w:eastAsia="zh-CN"/>
              </w:rPr>
              <w:t>2024年9月30日（未经审计）</w:t>
            </w:r>
          </w:p>
        </w:tc>
        <w:tc>
          <w:tcPr>
            <w:tcW w:w="1954" w:type="pct"/>
            <w:vAlign w:val="center"/>
          </w:tcPr>
          <w:p w14:paraId="508CA15F">
            <w:pPr>
              <w:autoSpaceDE w:val="0"/>
              <w:autoSpaceDN w:val="0"/>
              <w:adjustRightInd w:val="0"/>
              <w:spacing w:line="560" w:lineRule="exact"/>
              <w:jc w:val="center"/>
              <w:rPr>
                <w:rFonts w:hint="eastAsia" w:ascii="宋体" w:hAnsi="宋体" w:eastAsia="宋体" w:cs="宋体"/>
                <w:b w:val="0"/>
                <w:bCs w:val="0"/>
                <w:kern w:val="0"/>
                <w:sz w:val="20"/>
                <w:szCs w:val="20"/>
                <w:highlight w:val="none"/>
              </w:rPr>
            </w:pPr>
            <w:r>
              <w:rPr>
                <w:rFonts w:hint="eastAsia" w:ascii="宋体" w:hAnsi="宋体" w:eastAsia="宋体" w:cs="宋体"/>
                <w:b w:val="0"/>
                <w:bCs w:val="0"/>
                <w:kern w:val="0"/>
                <w:sz w:val="20"/>
                <w:szCs w:val="20"/>
                <w:highlight w:val="none"/>
              </w:rPr>
              <w:t>202</w:t>
            </w:r>
            <w:r>
              <w:rPr>
                <w:rFonts w:hint="eastAsia" w:ascii="宋体" w:hAnsi="宋体" w:cs="宋体"/>
                <w:b w:val="0"/>
                <w:bCs w:val="0"/>
                <w:kern w:val="0"/>
                <w:sz w:val="20"/>
                <w:szCs w:val="20"/>
                <w:highlight w:val="none"/>
                <w:lang w:val="en-US" w:eastAsia="zh-CN"/>
              </w:rPr>
              <w:t>3</w:t>
            </w:r>
            <w:r>
              <w:rPr>
                <w:rFonts w:hint="eastAsia" w:ascii="宋体" w:hAnsi="宋体" w:eastAsia="宋体" w:cs="宋体"/>
                <w:b w:val="0"/>
                <w:bCs w:val="0"/>
                <w:kern w:val="0"/>
                <w:sz w:val="20"/>
                <w:szCs w:val="20"/>
                <w:highlight w:val="none"/>
              </w:rPr>
              <w:t>年</w:t>
            </w:r>
            <w:r>
              <w:rPr>
                <w:rFonts w:hint="eastAsia" w:ascii="宋体" w:hAnsi="宋体" w:cs="宋体"/>
                <w:b w:val="0"/>
                <w:bCs w:val="0"/>
                <w:kern w:val="0"/>
                <w:sz w:val="20"/>
                <w:szCs w:val="20"/>
                <w:highlight w:val="none"/>
                <w:lang w:eastAsia="zh-CN"/>
              </w:rPr>
              <w:t>1</w:t>
            </w:r>
            <w:r>
              <w:rPr>
                <w:rFonts w:hint="eastAsia" w:ascii="宋体" w:hAnsi="宋体" w:cs="宋体"/>
                <w:b w:val="0"/>
                <w:bCs w:val="0"/>
                <w:kern w:val="0"/>
                <w:sz w:val="20"/>
                <w:szCs w:val="20"/>
                <w:highlight w:val="none"/>
                <w:lang w:val="en-US" w:eastAsia="zh-CN"/>
              </w:rPr>
              <w:t>2</w:t>
            </w:r>
            <w:r>
              <w:rPr>
                <w:rFonts w:hint="eastAsia" w:ascii="宋体" w:hAnsi="宋体" w:eastAsia="宋体" w:cs="宋体"/>
                <w:b w:val="0"/>
                <w:bCs w:val="0"/>
                <w:kern w:val="0"/>
                <w:sz w:val="20"/>
                <w:szCs w:val="20"/>
                <w:highlight w:val="none"/>
              </w:rPr>
              <w:t>月3</w:t>
            </w:r>
            <w:r>
              <w:rPr>
                <w:rFonts w:hint="eastAsia" w:ascii="宋体" w:hAnsi="宋体" w:cs="宋体"/>
                <w:b w:val="0"/>
                <w:bCs w:val="0"/>
                <w:kern w:val="0"/>
                <w:sz w:val="20"/>
                <w:szCs w:val="20"/>
                <w:highlight w:val="none"/>
                <w:lang w:eastAsia="zh-CN"/>
              </w:rPr>
              <w:t>1</w:t>
            </w:r>
            <w:r>
              <w:rPr>
                <w:rFonts w:hint="eastAsia" w:ascii="宋体" w:hAnsi="宋体" w:eastAsia="宋体" w:cs="宋体"/>
                <w:b w:val="0"/>
                <w:bCs w:val="0"/>
                <w:kern w:val="0"/>
                <w:sz w:val="20"/>
                <w:szCs w:val="20"/>
                <w:highlight w:val="none"/>
              </w:rPr>
              <w:t>日</w:t>
            </w:r>
            <w:r>
              <w:rPr>
                <w:rFonts w:hint="eastAsia" w:ascii="宋体" w:hAnsi="宋体" w:cs="宋体"/>
                <w:b w:val="0"/>
                <w:bCs w:val="0"/>
                <w:kern w:val="0"/>
                <w:sz w:val="20"/>
                <w:szCs w:val="20"/>
                <w:highlight w:val="none"/>
                <w:lang w:val="en-US" w:eastAsia="zh-CN"/>
              </w:rPr>
              <w:t>（</w:t>
            </w:r>
            <w:r>
              <w:rPr>
                <w:rFonts w:hint="eastAsia" w:ascii="宋体" w:hAnsi="宋体" w:eastAsia="宋体" w:cs="宋体"/>
                <w:b w:val="0"/>
                <w:bCs w:val="0"/>
                <w:kern w:val="0"/>
                <w:sz w:val="20"/>
                <w:szCs w:val="20"/>
                <w:highlight w:val="none"/>
              </w:rPr>
              <w:t>经审计</w:t>
            </w:r>
            <w:r>
              <w:rPr>
                <w:rFonts w:hint="eastAsia" w:ascii="宋体" w:hAnsi="宋体" w:cs="宋体"/>
                <w:b w:val="0"/>
                <w:bCs w:val="0"/>
                <w:kern w:val="0"/>
                <w:sz w:val="20"/>
                <w:szCs w:val="20"/>
                <w:highlight w:val="none"/>
                <w:lang w:eastAsia="zh-CN"/>
              </w:rPr>
              <w:t>）</w:t>
            </w:r>
          </w:p>
        </w:tc>
      </w:tr>
      <w:tr w14:paraId="6A05E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92" w:type="pct"/>
          </w:tcPr>
          <w:p w14:paraId="7D7B3252">
            <w:pPr>
              <w:autoSpaceDE w:val="0"/>
              <w:autoSpaceDN w:val="0"/>
              <w:adjustRightInd w:val="0"/>
              <w:spacing w:line="560" w:lineRule="exact"/>
              <w:rPr>
                <w:rFonts w:hint="eastAsia"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资产总额</w:t>
            </w:r>
          </w:p>
        </w:tc>
        <w:tc>
          <w:tcPr>
            <w:tcW w:w="3329" w:type="dxa"/>
            <w:vAlign w:val="center"/>
          </w:tcPr>
          <w:p w14:paraId="67B9C338">
            <w:pPr>
              <w:keepNext w:val="0"/>
              <w:keepLines w:val="0"/>
              <w:widowControl/>
              <w:suppressLineNumbers w:val="0"/>
              <w:jc w:val="right"/>
              <w:textAlignment w:val="center"/>
              <w:rPr>
                <w:rFonts w:hint="eastAsia" w:ascii="仿宋" w:hAnsi="仿宋" w:eastAsia="仿宋" w:cs="仿宋"/>
                <w:b w:val="0"/>
                <w:bCs w:val="0"/>
                <w:i w:val="0"/>
                <w:iCs w:val="0"/>
                <w:color w:val="auto"/>
                <w:kern w:val="2"/>
                <w:sz w:val="20"/>
                <w:szCs w:val="20"/>
                <w:highlight w:val="none"/>
                <w:u w:val="none"/>
                <w:lang w:val="en-US" w:eastAsia="zh-CN" w:bidi="ar-SA"/>
              </w:rPr>
            </w:pPr>
            <w:r>
              <w:rPr>
                <w:rFonts w:hint="eastAsia" w:ascii="仿宋" w:hAnsi="仿宋" w:eastAsia="仿宋" w:cs="仿宋"/>
                <w:b w:val="0"/>
                <w:bCs w:val="0"/>
                <w:i w:val="0"/>
                <w:iCs w:val="0"/>
                <w:color w:val="auto"/>
                <w:kern w:val="0"/>
                <w:sz w:val="20"/>
                <w:szCs w:val="20"/>
                <w:highlight w:val="none"/>
                <w:u w:val="none"/>
                <w:lang w:val="en-US" w:eastAsia="zh-CN" w:bidi="ar"/>
              </w:rPr>
              <w:t>163,833.17</w:t>
            </w:r>
          </w:p>
        </w:tc>
        <w:tc>
          <w:tcPr>
            <w:tcW w:w="3330" w:type="dxa"/>
            <w:vAlign w:val="center"/>
          </w:tcPr>
          <w:p w14:paraId="34C43273">
            <w:pPr>
              <w:keepNext w:val="0"/>
              <w:keepLines w:val="0"/>
              <w:widowControl/>
              <w:suppressLineNumbers w:val="0"/>
              <w:jc w:val="right"/>
              <w:textAlignment w:val="center"/>
              <w:rPr>
                <w:rFonts w:hint="eastAsia" w:ascii="宋体" w:hAnsi="宋体" w:eastAsia="宋体" w:cs="宋体"/>
                <w:b w:val="0"/>
                <w:bCs w:val="0"/>
                <w:sz w:val="20"/>
                <w:szCs w:val="20"/>
                <w:highlight w:val="none"/>
              </w:rPr>
            </w:pPr>
            <w:r>
              <w:rPr>
                <w:rFonts w:hint="eastAsia" w:ascii="宋体" w:hAnsi="宋体" w:eastAsia="宋体" w:cs="宋体"/>
                <w:b w:val="0"/>
                <w:bCs w:val="0"/>
                <w:i w:val="0"/>
                <w:iCs w:val="0"/>
                <w:color w:val="000000"/>
                <w:kern w:val="0"/>
                <w:sz w:val="20"/>
                <w:szCs w:val="20"/>
                <w:highlight w:val="none"/>
                <w:u w:val="none"/>
                <w:lang w:val="en-US" w:eastAsia="zh-CN" w:bidi="ar"/>
              </w:rPr>
              <w:t>158,731.03</w:t>
            </w:r>
          </w:p>
        </w:tc>
      </w:tr>
      <w:tr w14:paraId="20945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92" w:type="pct"/>
          </w:tcPr>
          <w:p w14:paraId="147F08C8">
            <w:pPr>
              <w:autoSpaceDE w:val="0"/>
              <w:autoSpaceDN w:val="0"/>
              <w:adjustRightInd w:val="0"/>
              <w:spacing w:line="560" w:lineRule="exact"/>
              <w:rPr>
                <w:rFonts w:hint="eastAsia"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负债总额</w:t>
            </w:r>
          </w:p>
        </w:tc>
        <w:tc>
          <w:tcPr>
            <w:tcW w:w="3329" w:type="dxa"/>
            <w:vAlign w:val="center"/>
          </w:tcPr>
          <w:p w14:paraId="5A2581DD">
            <w:pPr>
              <w:keepNext w:val="0"/>
              <w:keepLines w:val="0"/>
              <w:widowControl/>
              <w:suppressLineNumbers w:val="0"/>
              <w:jc w:val="right"/>
              <w:textAlignment w:val="center"/>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93,309.04</w:t>
            </w:r>
          </w:p>
        </w:tc>
        <w:tc>
          <w:tcPr>
            <w:tcW w:w="3330" w:type="dxa"/>
            <w:vAlign w:val="center"/>
          </w:tcPr>
          <w:p w14:paraId="1B490ED3">
            <w:pPr>
              <w:keepNext w:val="0"/>
              <w:keepLines w:val="0"/>
              <w:widowControl/>
              <w:suppressLineNumbers w:val="0"/>
              <w:jc w:val="right"/>
              <w:textAlignment w:val="center"/>
              <w:rPr>
                <w:rFonts w:hint="eastAsia" w:ascii="宋体" w:hAnsi="宋体" w:eastAsia="宋体" w:cs="宋体"/>
                <w:b w:val="0"/>
                <w:bCs w:val="0"/>
                <w:kern w:val="0"/>
                <w:sz w:val="20"/>
                <w:szCs w:val="20"/>
                <w:highlight w:val="none"/>
              </w:rPr>
            </w:pPr>
            <w:r>
              <w:rPr>
                <w:rFonts w:hint="eastAsia" w:ascii="宋体" w:hAnsi="宋体" w:eastAsia="宋体" w:cs="宋体"/>
                <w:b w:val="0"/>
                <w:bCs w:val="0"/>
                <w:i w:val="0"/>
                <w:iCs w:val="0"/>
                <w:color w:val="000000"/>
                <w:kern w:val="0"/>
                <w:sz w:val="20"/>
                <w:szCs w:val="20"/>
                <w:highlight w:val="none"/>
                <w:u w:val="none"/>
                <w:lang w:val="en-US" w:eastAsia="zh-CN" w:bidi="ar"/>
              </w:rPr>
              <w:t>91,439.85</w:t>
            </w:r>
          </w:p>
        </w:tc>
      </w:tr>
      <w:tr w14:paraId="24B84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92" w:type="pct"/>
          </w:tcPr>
          <w:p w14:paraId="3384E5DF">
            <w:pPr>
              <w:autoSpaceDE w:val="0"/>
              <w:autoSpaceDN w:val="0"/>
              <w:adjustRightInd w:val="0"/>
              <w:spacing w:line="560" w:lineRule="exact"/>
              <w:rPr>
                <w:rFonts w:hint="eastAsia"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净资产</w:t>
            </w:r>
          </w:p>
        </w:tc>
        <w:tc>
          <w:tcPr>
            <w:tcW w:w="3329" w:type="dxa"/>
            <w:vAlign w:val="center"/>
          </w:tcPr>
          <w:p w14:paraId="396F8234">
            <w:pPr>
              <w:keepNext w:val="0"/>
              <w:keepLines w:val="0"/>
              <w:widowControl/>
              <w:suppressLineNumbers w:val="0"/>
              <w:jc w:val="right"/>
              <w:textAlignment w:val="center"/>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eastAsia="宋体" w:cs="宋体"/>
                <w:b w:val="0"/>
                <w:bCs w:val="0"/>
                <w:i w:val="0"/>
                <w:iCs w:val="0"/>
                <w:color w:val="auto"/>
                <w:kern w:val="0"/>
                <w:sz w:val="20"/>
                <w:szCs w:val="20"/>
                <w:highlight w:val="none"/>
                <w:u w:val="none"/>
                <w:lang w:val="en-US" w:eastAsia="zh-CN" w:bidi="ar"/>
              </w:rPr>
              <w:t>70,524.13</w:t>
            </w:r>
          </w:p>
        </w:tc>
        <w:tc>
          <w:tcPr>
            <w:tcW w:w="3330" w:type="dxa"/>
            <w:vAlign w:val="center"/>
          </w:tcPr>
          <w:p w14:paraId="60B33263">
            <w:pPr>
              <w:keepNext w:val="0"/>
              <w:keepLines w:val="0"/>
              <w:widowControl/>
              <w:suppressLineNumbers w:val="0"/>
              <w:jc w:val="right"/>
              <w:textAlignment w:val="center"/>
              <w:rPr>
                <w:rFonts w:hint="eastAsia" w:ascii="宋体" w:hAnsi="宋体" w:eastAsia="宋体" w:cs="宋体"/>
                <w:b w:val="0"/>
                <w:bCs w:val="0"/>
                <w:kern w:val="0"/>
                <w:sz w:val="20"/>
                <w:szCs w:val="20"/>
                <w:highlight w:val="none"/>
              </w:rPr>
            </w:pPr>
            <w:r>
              <w:rPr>
                <w:rFonts w:hint="eastAsia" w:ascii="宋体" w:hAnsi="宋体" w:cs="宋体"/>
                <w:b w:val="0"/>
                <w:bCs w:val="0"/>
                <w:i w:val="0"/>
                <w:iCs w:val="0"/>
                <w:color w:val="000000"/>
                <w:kern w:val="0"/>
                <w:sz w:val="20"/>
                <w:szCs w:val="20"/>
                <w:highlight w:val="none"/>
                <w:u w:val="none"/>
                <w:lang w:val="en-US" w:eastAsia="zh-CN" w:bidi="ar"/>
              </w:rPr>
              <w:t>67,291.18</w:t>
            </w:r>
          </w:p>
        </w:tc>
      </w:tr>
      <w:tr w14:paraId="60BCE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92" w:type="pct"/>
          </w:tcPr>
          <w:p w14:paraId="41C01DBB">
            <w:pPr>
              <w:autoSpaceDE w:val="0"/>
              <w:autoSpaceDN w:val="0"/>
              <w:adjustRightInd w:val="0"/>
              <w:spacing w:line="560" w:lineRule="exact"/>
              <w:rPr>
                <w:rFonts w:hint="eastAsia" w:ascii="宋体" w:hAnsi="宋体" w:eastAsia="宋体" w:cs="宋体"/>
                <w:b/>
                <w:bCs/>
                <w:kern w:val="0"/>
                <w:sz w:val="20"/>
                <w:szCs w:val="20"/>
                <w:highlight w:val="none"/>
              </w:rPr>
            </w:pPr>
          </w:p>
        </w:tc>
        <w:tc>
          <w:tcPr>
            <w:tcW w:w="1953" w:type="pct"/>
            <w:vAlign w:val="center"/>
          </w:tcPr>
          <w:p w14:paraId="0A4D50B6">
            <w:pPr>
              <w:widowControl/>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cs="宋体"/>
                <w:b w:val="0"/>
                <w:bCs w:val="0"/>
                <w:i w:val="0"/>
                <w:iCs w:val="0"/>
                <w:color w:val="000000"/>
                <w:kern w:val="0"/>
                <w:sz w:val="20"/>
                <w:szCs w:val="20"/>
                <w:highlight w:val="none"/>
                <w:u w:val="none"/>
                <w:lang w:val="en-US" w:eastAsia="zh-CN" w:bidi="ar"/>
              </w:rPr>
              <w:t>2024年1-9月（未经审计）</w:t>
            </w:r>
          </w:p>
        </w:tc>
        <w:tc>
          <w:tcPr>
            <w:tcW w:w="1954" w:type="pct"/>
            <w:vAlign w:val="center"/>
          </w:tcPr>
          <w:p w14:paraId="0E91C34F">
            <w:pPr>
              <w:widowControl/>
              <w:jc w:val="center"/>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cs="宋体"/>
                <w:b w:val="0"/>
                <w:bCs w:val="0"/>
                <w:i w:val="0"/>
                <w:iCs w:val="0"/>
                <w:color w:val="000000"/>
                <w:kern w:val="0"/>
                <w:sz w:val="20"/>
                <w:szCs w:val="20"/>
                <w:highlight w:val="none"/>
                <w:u w:val="none"/>
                <w:lang w:val="en-US" w:eastAsia="zh-CN" w:bidi="ar"/>
              </w:rPr>
              <w:t>2023年1-12月（经审计）</w:t>
            </w:r>
          </w:p>
        </w:tc>
      </w:tr>
      <w:tr w14:paraId="49CE0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92" w:type="pct"/>
          </w:tcPr>
          <w:p w14:paraId="76DA89ED">
            <w:pPr>
              <w:autoSpaceDE w:val="0"/>
              <w:autoSpaceDN w:val="0"/>
              <w:adjustRightInd w:val="0"/>
              <w:spacing w:line="560" w:lineRule="exact"/>
              <w:rPr>
                <w:rFonts w:hint="eastAsia"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营业收入</w:t>
            </w:r>
          </w:p>
        </w:tc>
        <w:tc>
          <w:tcPr>
            <w:tcW w:w="3329" w:type="dxa"/>
            <w:vAlign w:val="center"/>
          </w:tcPr>
          <w:p w14:paraId="3D52AD12">
            <w:pPr>
              <w:keepNext w:val="0"/>
              <w:keepLines w:val="0"/>
              <w:widowControl/>
              <w:suppressLineNumbers w:val="0"/>
              <w:jc w:val="right"/>
              <w:textAlignment w:val="center"/>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60,774.93</w:t>
            </w:r>
          </w:p>
        </w:tc>
        <w:tc>
          <w:tcPr>
            <w:tcW w:w="3330" w:type="dxa"/>
            <w:vAlign w:val="center"/>
          </w:tcPr>
          <w:p w14:paraId="3E9D6C11">
            <w:pPr>
              <w:keepNext w:val="0"/>
              <w:keepLines w:val="0"/>
              <w:widowControl/>
              <w:suppressLineNumbers w:val="0"/>
              <w:jc w:val="right"/>
              <w:textAlignment w:val="center"/>
              <w:rPr>
                <w:rFonts w:hint="eastAsia" w:ascii="宋体" w:hAnsi="宋体" w:eastAsia="宋体" w:cs="宋体"/>
                <w:b w:val="0"/>
                <w:bCs w:val="0"/>
                <w:kern w:val="0"/>
                <w:sz w:val="20"/>
                <w:szCs w:val="20"/>
                <w:highlight w:val="none"/>
              </w:rPr>
            </w:pPr>
            <w:r>
              <w:rPr>
                <w:rFonts w:hint="eastAsia" w:ascii="宋体" w:hAnsi="宋体" w:cs="宋体"/>
                <w:b w:val="0"/>
                <w:bCs w:val="0"/>
                <w:i w:val="0"/>
                <w:iCs w:val="0"/>
                <w:color w:val="000000"/>
                <w:kern w:val="0"/>
                <w:sz w:val="20"/>
                <w:szCs w:val="20"/>
                <w:highlight w:val="none"/>
                <w:u w:val="none"/>
                <w:lang w:val="en-US" w:eastAsia="zh-CN" w:bidi="ar"/>
              </w:rPr>
              <w:t>80,828.53</w:t>
            </w:r>
          </w:p>
        </w:tc>
      </w:tr>
      <w:tr w14:paraId="5EC4C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92" w:type="pct"/>
          </w:tcPr>
          <w:p w14:paraId="2C645448">
            <w:pPr>
              <w:autoSpaceDE w:val="0"/>
              <w:autoSpaceDN w:val="0"/>
              <w:adjustRightInd w:val="0"/>
              <w:spacing w:line="560" w:lineRule="exact"/>
              <w:rPr>
                <w:rFonts w:hint="eastAsia"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净利润</w:t>
            </w:r>
          </w:p>
        </w:tc>
        <w:tc>
          <w:tcPr>
            <w:tcW w:w="3329" w:type="dxa"/>
            <w:vAlign w:val="center"/>
          </w:tcPr>
          <w:p w14:paraId="15824AA7">
            <w:pPr>
              <w:keepNext w:val="0"/>
              <w:keepLines w:val="0"/>
              <w:widowControl/>
              <w:suppressLineNumbers w:val="0"/>
              <w:jc w:val="right"/>
              <w:textAlignment w:val="center"/>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2,211.55</w:t>
            </w:r>
          </w:p>
        </w:tc>
        <w:tc>
          <w:tcPr>
            <w:tcW w:w="3330" w:type="dxa"/>
            <w:vAlign w:val="center"/>
          </w:tcPr>
          <w:p w14:paraId="0E2A71CE">
            <w:pPr>
              <w:keepNext w:val="0"/>
              <w:keepLines w:val="0"/>
              <w:widowControl/>
              <w:suppressLineNumbers w:val="0"/>
              <w:jc w:val="right"/>
              <w:textAlignment w:val="center"/>
              <w:rPr>
                <w:rFonts w:hint="eastAsia" w:ascii="宋体" w:hAnsi="宋体" w:eastAsia="宋体" w:cs="宋体"/>
                <w:b w:val="0"/>
                <w:bCs w:val="0"/>
                <w:kern w:val="0"/>
                <w:sz w:val="20"/>
                <w:szCs w:val="20"/>
                <w:highlight w:val="none"/>
              </w:rPr>
            </w:pPr>
            <w:r>
              <w:rPr>
                <w:rFonts w:hint="eastAsia" w:ascii="宋体" w:hAnsi="宋体" w:cs="宋体"/>
                <w:b w:val="0"/>
                <w:bCs w:val="0"/>
                <w:i w:val="0"/>
                <w:iCs w:val="0"/>
                <w:color w:val="000000"/>
                <w:kern w:val="0"/>
                <w:sz w:val="20"/>
                <w:szCs w:val="20"/>
                <w:highlight w:val="none"/>
                <w:u w:val="none"/>
                <w:lang w:val="en-US" w:eastAsia="zh-CN" w:bidi="ar"/>
              </w:rPr>
              <w:t>8,112.29</w:t>
            </w:r>
          </w:p>
        </w:tc>
      </w:tr>
    </w:tbl>
    <w:p w14:paraId="493C1485">
      <w:pPr>
        <w:autoSpaceDE w:val="0"/>
        <w:autoSpaceDN w:val="0"/>
        <w:adjustRightInd w:val="0"/>
        <w:spacing w:line="560" w:lineRule="exact"/>
        <w:rPr>
          <w:rFonts w:hint="eastAsia" w:ascii="宋体" w:hAnsi="宋体" w:cs="宋体"/>
          <w:b/>
          <w:kern w:val="0"/>
          <w:sz w:val="24"/>
          <w:szCs w:val="24"/>
          <w:highlight w:val="none"/>
        </w:rPr>
      </w:pPr>
      <w:r>
        <w:rPr>
          <w:rFonts w:hint="eastAsia" w:ascii="宋体" w:hAnsi="宋体" w:cs="宋体"/>
          <w:b/>
          <w:kern w:val="0"/>
          <w:sz w:val="24"/>
          <w:szCs w:val="24"/>
          <w:highlight w:val="none"/>
        </w:rPr>
        <w:t>三、本月签署的</w:t>
      </w:r>
      <w:r>
        <w:rPr>
          <w:rFonts w:hint="eastAsia" w:ascii="宋体" w:hAnsi="宋体" w:cs="宋体"/>
          <w:b/>
          <w:kern w:val="0"/>
          <w:sz w:val="24"/>
          <w:szCs w:val="24"/>
          <w:highlight w:val="none"/>
          <w:lang w:eastAsia="zh-CN"/>
        </w:rPr>
        <w:t>《</w:t>
      </w:r>
      <w:r>
        <w:rPr>
          <w:rFonts w:hint="eastAsia" w:ascii="宋体" w:hAnsi="宋体" w:cs="宋体"/>
          <w:b/>
          <w:kern w:val="0"/>
          <w:sz w:val="24"/>
          <w:szCs w:val="24"/>
          <w:highlight w:val="none"/>
          <w:lang w:val="en-US" w:eastAsia="zh-CN"/>
        </w:rPr>
        <w:t>保证合同》</w:t>
      </w:r>
      <w:r>
        <w:rPr>
          <w:rFonts w:hint="eastAsia" w:ascii="宋体" w:hAnsi="宋体" w:cs="宋体"/>
          <w:b/>
          <w:kern w:val="0"/>
          <w:sz w:val="24"/>
          <w:szCs w:val="24"/>
          <w:highlight w:val="none"/>
        </w:rPr>
        <w:t>主要内容</w:t>
      </w:r>
    </w:p>
    <w:p w14:paraId="40E576BD">
      <w:pPr>
        <w:pStyle w:val="81"/>
        <w:spacing w:beforeAutospacing="0" w:afterAutospacing="0" w:line="560" w:lineRule="exact"/>
        <w:ind w:firstLine="480" w:firstLineChars="200"/>
        <w:rPr>
          <w:rFonts w:hint="eastAsia" w:ascii="宋体" w:hAnsi="宋体" w:cs="宋体"/>
          <w:bCs w:val="0"/>
          <w:snapToGrid/>
          <w:kern w:val="0"/>
          <w:sz w:val="24"/>
          <w:szCs w:val="24"/>
          <w:highlight w:val="none"/>
        </w:rPr>
      </w:pPr>
      <w:r>
        <w:rPr>
          <w:rFonts w:hint="eastAsia" w:ascii="宋体" w:hAnsi="宋体" w:cs="宋体"/>
          <w:bCs/>
          <w:snapToGrid w:val="0"/>
          <w:szCs w:val="24"/>
          <w:highlight w:val="none"/>
          <w:lang w:val="en-US" w:eastAsia="zh-CN"/>
        </w:rPr>
        <w:t>1</w:t>
      </w:r>
      <w:r>
        <w:rPr>
          <w:rFonts w:hint="eastAsia" w:ascii="宋体" w:hAnsi="宋体" w:cs="宋体"/>
          <w:bCs/>
          <w:snapToGrid w:val="0"/>
          <w:szCs w:val="24"/>
          <w:highlight w:val="none"/>
        </w:rPr>
        <w:t>、</w:t>
      </w:r>
      <w:r>
        <w:rPr>
          <w:rFonts w:hint="eastAsia" w:ascii="宋体" w:hAnsi="宋体" w:cs="宋体"/>
          <w:bCs w:val="0"/>
          <w:snapToGrid/>
          <w:kern w:val="0"/>
          <w:sz w:val="24"/>
          <w:szCs w:val="24"/>
          <w:highlight w:val="none"/>
        </w:rPr>
        <w:t>保证人：重庆望变电气(集团)股份有限公司</w:t>
      </w:r>
    </w:p>
    <w:p w14:paraId="29FAFC4B">
      <w:pPr>
        <w:keepNext w:val="0"/>
        <w:keepLines w:val="0"/>
        <w:pageBreakBefore w:val="0"/>
        <w:numPr>
          <w:ilvl w:val="255"/>
          <w:numId w:val="0"/>
        </w:numPr>
        <w:wordWrap/>
        <w:overflowPunct/>
        <w:topLinePunct w:val="0"/>
        <w:autoSpaceDE w:val="0"/>
        <w:autoSpaceDN w:val="0"/>
        <w:bidi w:val="0"/>
        <w:adjustRightInd w:val="0"/>
        <w:spacing w:beforeAutospacing="0" w:afterAutospacing="0" w:line="560" w:lineRule="exact"/>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、保证方式：连带</w:t>
      </w:r>
      <w:r>
        <w:rPr>
          <w:rFonts w:hint="eastAsia" w:ascii="宋体" w:hAnsi="宋体" w:cs="宋体"/>
          <w:kern w:val="0"/>
          <w:sz w:val="24"/>
          <w:szCs w:val="24"/>
          <w:highlight w:val="none"/>
          <w:lang w:val="en-US" w:eastAsia="zh-CN"/>
        </w:rPr>
        <w:t>保证</w:t>
      </w:r>
      <w:r>
        <w:rPr>
          <w:rFonts w:hint="eastAsia" w:ascii="宋体" w:hAnsi="宋体" w:cs="宋体"/>
          <w:kern w:val="0"/>
          <w:sz w:val="24"/>
          <w:szCs w:val="24"/>
          <w:highlight w:val="none"/>
        </w:rPr>
        <w:t>责任</w:t>
      </w:r>
    </w:p>
    <w:p w14:paraId="3EC0A613">
      <w:pPr>
        <w:keepNext w:val="0"/>
        <w:keepLines w:val="0"/>
        <w:pageBreakBefore w:val="0"/>
        <w:numPr>
          <w:ilvl w:val="255"/>
          <w:numId w:val="0"/>
        </w:numPr>
        <w:wordWrap/>
        <w:overflowPunct/>
        <w:topLinePunct w:val="0"/>
        <w:autoSpaceDE w:val="0"/>
        <w:autoSpaceDN w:val="0"/>
        <w:bidi w:val="0"/>
        <w:adjustRightInd w:val="0"/>
        <w:spacing w:beforeAutospacing="0" w:afterAutospacing="0" w:line="560" w:lineRule="exact"/>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、保证范围：</w:t>
      </w:r>
      <w:r>
        <w:rPr>
          <w:rFonts w:hint="eastAsia" w:ascii="宋体" w:hAnsi="宋体" w:cs="宋体"/>
          <w:kern w:val="0"/>
          <w:sz w:val="24"/>
          <w:szCs w:val="24"/>
          <w:highlight w:val="none"/>
          <w:lang w:val="en-US" w:eastAsia="zh-CN"/>
        </w:rPr>
        <w:t>保证人提供的担保范围为交通银行云南省分行</w:t>
      </w:r>
      <w:r>
        <w:rPr>
          <w:rFonts w:hint="eastAsia" w:ascii="宋体" w:hAnsi="宋体" w:cs="宋体"/>
          <w:kern w:val="0"/>
          <w:sz w:val="24"/>
          <w:szCs w:val="24"/>
          <w:highlight w:val="none"/>
        </w:rPr>
        <w:t>与</w:t>
      </w:r>
      <w:r>
        <w:rPr>
          <w:rFonts w:hint="eastAsia" w:ascii="宋体" w:hAnsi="宋体" w:cs="宋体"/>
          <w:kern w:val="0"/>
          <w:sz w:val="24"/>
          <w:szCs w:val="24"/>
          <w:highlight w:val="none"/>
          <w:lang w:val="en-US" w:eastAsia="zh-CN"/>
        </w:rPr>
        <w:t>云变电气签订的</w:t>
      </w:r>
      <w:r>
        <w:rPr>
          <w:rFonts w:hint="eastAsia" w:ascii="宋体" w:hAnsi="宋体" w:cs="宋体"/>
          <w:kern w:val="0"/>
          <w:sz w:val="24"/>
          <w:szCs w:val="24"/>
          <w:highlight w:val="none"/>
        </w:rPr>
        <w:t>全部</w:t>
      </w:r>
      <w:r>
        <w:rPr>
          <w:rFonts w:hint="eastAsia" w:ascii="宋体" w:hAnsi="宋体" w:cs="宋体"/>
          <w:kern w:val="0"/>
          <w:sz w:val="24"/>
          <w:szCs w:val="24"/>
          <w:highlight w:val="none"/>
          <w:lang w:val="en-US" w:eastAsia="zh-CN"/>
        </w:rPr>
        <w:t>授信业务合同（</w:t>
      </w:r>
      <w:r>
        <w:rPr>
          <w:rFonts w:hint="eastAsia" w:ascii="宋体" w:hAnsi="宋体" w:cs="宋体"/>
          <w:kern w:val="0"/>
          <w:sz w:val="24"/>
          <w:szCs w:val="24"/>
          <w:highlight w:val="none"/>
        </w:rPr>
        <w:t>最高限额为人民币</w:t>
      </w:r>
      <w:r>
        <w:rPr>
          <w:rFonts w:hint="eastAsia" w:ascii="宋体" w:hAnsi="宋体" w:cs="宋体"/>
          <w:kern w:val="0"/>
          <w:sz w:val="24"/>
          <w:szCs w:val="24"/>
          <w:highlight w:val="none"/>
          <w:lang w:eastAsia="zh-CN"/>
        </w:rPr>
        <w:t>1</w:t>
      </w:r>
      <w:r>
        <w:rPr>
          <w:rFonts w:hint="eastAsia" w:ascii="宋体" w:hAnsi="宋体" w:cs="宋体"/>
          <w:kern w:val="0"/>
          <w:sz w:val="24"/>
          <w:szCs w:val="24"/>
          <w:highlight w:val="none"/>
          <w:lang w:val="en-US" w:eastAsia="zh-CN"/>
        </w:rPr>
        <w:t>0</w:t>
      </w: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0</w:t>
      </w:r>
      <w:r>
        <w:rPr>
          <w:rFonts w:hint="eastAsia" w:ascii="宋体" w:hAnsi="宋体" w:cs="宋体"/>
          <w:kern w:val="0"/>
          <w:sz w:val="24"/>
          <w:szCs w:val="24"/>
          <w:highlight w:val="none"/>
        </w:rPr>
        <w:t>00万元整</w:t>
      </w:r>
      <w:r>
        <w:rPr>
          <w:rFonts w:hint="eastAsia" w:ascii="宋体" w:hAnsi="宋体" w:cs="宋体"/>
          <w:kern w:val="0"/>
          <w:sz w:val="24"/>
          <w:szCs w:val="24"/>
          <w:highlight w:val="none"/>
          <w:lang w:val="en-US" w:eastAsia="zh-CN"/>
        </w:rPr>
        <w:t>）</w:t>
      </w:r>
      <w:r>
        <w:rPr>
          <w:rFonts w:hint="eastAsia" w:ascii="宋体" w:hAnsi="宋体" w:cs="宋体"/>
          <w:kern w:val="0"/>
          <w:sz w:val="24"/>
          <w:szCs w:val="24"/>
          <w:highlight w:val="none"/>
        </w:rPr>
        <w:t>项下主债权本金及利息、复利、罚息、违约金、损害赔偿金和实现债权的费用。实现债权的费用包括但不限于催收费用、诉讼费(或仲裁费)、保全费、公告费、执行费、律师费、差旅费及其它费用。</w:t>
      </w:r>
    </w:p>
    <w:p w14:paraId="20FB9E2E">
      <w:pPr>
        <w:keepNext w:val="0"/>
        <w:keepLines w:val="0"/>
        <w:pageBreakBefore w:val="0"/>
        <w:wordWrap/>
        <w:overflowPunct/>
        <w:topLinePunct w:val="0"/>
        <w:autoSpaceDE w:val="0"/>
        <w:autoSpaceDN w:val="0"/>
        <w:bidi w:val="0"/>
        <w:adjustRightInd w:val="0"/>
        <w:spacing w:beforeAutospacing="0" w:afterAutospacing="0" w:line="560" w:lineRule="exact"/>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rPr>
        <w:t>、担保</w:t>
      </w:r>
      <w:r>
        <w:rPr>
          <w:rFonts w:hint="eastAsia" w:ascii="宋体" w:hAnsi="宋体" w:cs="宋体"/>
          <w:kern w:val="0"/>
          <w:sz w:val="24"/>
          <w:szCs w:val="24"/>
          <w:highlight w:val="none"/>
          <w:lang w:val="en-US" w:eastAsia="zh-CN"/>
        </w:rPr>
        <w:t>期限</w:t>
      </w:r>
      <w:r>
        <w:rPr>
          <w:rFonts w:hint="eastAsia" w:ascii="宋体" w:hAnsi="宋体" w:cs="宋体"/>
          <w:kern w:val="0"/>
          <w:sz w:val="24"/>
          <w:szCs w:val="24"/>
          <w:highlight w:val="none"/>
        </w:rPr>
        <w:t>：保证人的保证责任期间为</w:t>
      </w:r>
      <w:r>
        <w:rPr>
          <w:rFonts w:hint="eastAsia" w:ascii="宋体" w:hAnsi="宋体" w:cs="宋体"/>
          <w:kern w:val="0"/>
          <w:sz w:val="24"/>
          <w:szCs w:val="24"/>
          <w:highlight w:val="none"/>
          <w:lang w:val="en-US" w:eastAsia="zh-CN"/>
        </w:rPr>
        <w:t>交通银行云南省分行</w:t>
      </w:r>
      <w:r>
        <w:rPr>
          <w:rFonts w:hint="eastAsia" w:ascii="宋体" w:hAnsi="宋体" w:cs="宋体"/>
          <w:kern w:val="0"/>
          <w:sz w:val="24"/>
          <w:szCs w:val="24"/>
          <w:highlight w:val="none"/>
        </w:rPr>
        <w:t>与</w:t>
      </w:r>
      <w:r>
        <w:rPr>
          <w:rFonts w:hint="eastAsia" w:ascii="宋体" w:hAnsi="宋体" w:cs="宋体"/>
          <w:kern w:val="0"/>
          <w:sz w:val="24"/>
          <w:szCs w:val="24"/>
          <w:highlight w:val="none"/>
          <w:lang w:val="en-US" w:eastAsia="zh-CN"/>
        </w:rPr>
        <w:t>云变电气签订的</w:t>
      </w:r>
      <w:r>
        <w:rPr>
          <w:rFonts w:hint="eastAsia" w:ascii="宋体" w:hAnsi="宋体" w:cs="宋体"/>
          <w:kern w:val="0"/>
          <w:sz w:val="24"/>
          <w:szCs w:val="24"/>
          <w:highlight w:val="none"/>
        </w:rPr>
        <w:t>全部</w:t>
      </w:r>
      <w:r>
        <w:rPr>
          <w:rFonts w:hint="eastAsia" w:ascii="宋体" w:hAnsi="宋体" w:cs="宋体"/>
          <w:kern w:val="0"/>
          <w:sz w:val="24"/>
          <w:szCs w:val="24"/>
          <w:highlight w:val="none"/>
          <w:lang w:val="en-US" w:eastAsia="zh-CN"/>
        </w:rPr>
        <w:t>授信业务合同</w:t>
      </w:r>
      <w:r>
        <w:rPr>
          <w:rFonts w:hint="eastAsia" w:ascii="宋体" w:hAnsi="宋体" w:cs="宋体"/>
          <w:kern w:val="0"/>
          <w:sz w:val="24"/>
          <w:szCs w:val="24"/>
          <w:highlight w:val="none"/>
        </w:rPr>
        <w:t>约定的各笔主债务的债务履行期限(开立银行承兑汇票/信用 证/担保函项下，根据债权人垫付款项日期)分别计算。每一笔主债务项下的保证期间为</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自该笔债务履行期限届满之日(或债权人垫付款项之日)</w:t>
      </w:r>
      <w:bookmarkStart w:id="0" w:name="_GoBack"/>
      <w:bookmarkEnd w:id="0"/>
      <w:r>
        <w:rPr>
          <w:rFonts w:hint="eastAsia" w:ascii="宋体" w:hAnsi="宋体" w:cs="宋体"/>
          <w:kern w:val="0"/>
          <w:sz w:val="24"/>
          <w:szCs w:val="24"/>
          <w:highlight w:val="none"/>
        </w:rPr>
        <w:t>起，计至全部主合同项下最后到 期的主债务的债务履行期限届满之日(或债权大垫付款项之日)后三年止。</w:t>
      </w:r>
    </w:p>
    <w:p w14:paraId="67BEC282">
      <w:pPr>
        <w:autoSpaceDE w:val="0"/>
        <w:autoSpaceDN w:val="0"/>
        <w:adjustRightInd w:val="0"/>
        <w:spacing w:line="560" w:lineRule="exact"/>
        <w:rPr>
          <w:rFonts w:hint="eastAsia" w:ascii="宋体" w:hAnsi="宋体" w:cs="宋体"/>
          <w:b/>
          <w:sz w:val="24"/>
          <w:szCs w:val="24"/>
          <w:highlight w:val="none"/>
        </w:rPr>
      </w:pPr>
      <w:r>
        <w:rPr>
          <w:rFonts w:hint="eastAsia" w:ascii="宋体" w:hAnsi="宋体" w:cs="宋体"/>
          <w:b/>
          <w:sz w:val="24"/>
          <w:szCs w:val="24"/>
          <w:highlight w:val="none"/>
        </w:rPr>
        <w:t>四、担保的必要性和合理性</w:t>
      </w:r>
    </w:p>
    <w:p w14:paraId="77DF22F8">
      <w:pPr>
        <w:pStyle w:val="81"/>
        <w:autoSpaceDE w:val="0"/>
        <w:autoSpaceDN w:val="0"/>
        <w:adjustRightInd w:val="0"/>
        <w:spacing w:beforeAutospacing="0" w:afterAutospacing="0" w:line="560" w:lineRule="exact"/>
        <w:ind w:firstLine="480" w:firstLineChars="200"/>
        <w:rPr>
          <w:rFonts w:hint="eastAsia" w:ascii="宋体" w:hAnsi="宋体" w:cs="宋体"/>
          <w:bCs/>
          <w:snapToGrid w:val="0"/>
          <w:szCs w:val="24"/>
          <w:highlight w:val="none"/>
        </w:rPr>
      </w:pPr>
      <w:r>
        <w:rPr>
          <w:rFonts w:hint="eastAsia" w:ascii="宋体" w:hAnsi="宋体" w:cs="宋体"/>
          <w:bCs/>
          <w:snapToGrid w:val="0"/>
          <w:szCs w:val="24"/>
          <w:highlight w:val="none"/>
        </w:rPr>
        <w:t>公司本月新增的对外担保主要为满足子公司日常生产经营需要，保证其生产经营活动的顺利开展，符合公司实际经营情况和整体发展战略，具有必要性和合理性。被担保对象为公司控股子公司，公司对其日常经营活动和资信状况能够及时掌握，担保风险总体可控，不会对公司及股东特别是中小股东利益造成重大不利影响。</w:t>
      </w:r>
    </w:p>
    <w:p w14:paraId="4F106CEB">
      <w:pPr>
        <w:tabs>
          <w:tab w:val="left" w:pos="3468"/>
        </w:tabs>
        <w:autoSpaceDE w:val="0"/>
        <w:autoSpaceDN w:val="0"/>
        <w:adjustRightInd w:val="0"/>
        <w:spacing w:before="159" w:beforeLines="50" w:line="360" w:lineRule="auto"/>
        <w:rPr>
          <w:rFonts w:hint="eastAsia" w:ascii="宋体" w:hAnsi="宋体" w:cs="宋体"/>
          <w:b/>
          <w:sz w:val="24"/>
          <w:szCs w:val="24"/>
        </w:rPr>
      </w:pPr>
      <w:r>
        <w:rPr>
          <w:rFonts w:hint="eastAsia" w:ascii="宋体" w:hAnsi="宋体" w:cs="宋体"/>
          <w:b/>
          <w:sz w:val="24"/>
          <w:szCs w:val="24"/>
          <w:lang w:val="en-US" w:eastAsia="zh-CN"/>
        </w:rPr>
        <w:t>五</w:t>
      </w:r>
      <w:r>
        <w:rPr>
          <w:rFonts w:hint="eastAsia" w:ascii="宋体" w:hAnsi="宋体" w:cs="宋体"/>
          <w:b/>
          <w:sz w:val="24"/>
          <w:szCs w:val="24"/>
        </w:rPr>
        <w:t>、累计对外担保数量及逾期担保的数量</w:t>
      </w:r>
    </w:p>
    <w:p w14:paraId="591CD441">
      <w:pPr>
        <w:autoSpaceDE w:val="0"/>
        <w:autoSpaceDN w:val="0"/>
        <w:adjustRightInd w:val="0"/>
        <w:spacing w:before="159" w:beforeLines="50" w:line="360" w:lineRule="auto"/>
        <w:ind w:firstLine="480" w:firstLineChars="200"/>
        <w:rPr>
          <w:rFonts w:hint="eastAsia" w:ascii="宋体" w:hAnsi="宋体" w:cs="宋体"/>
          <w:bCs/>
          <w:sz w:val="24"/>
          <w:szCs w:val="24"/>
        </w:rPr>
      </w:pPr>
      <w:r>
        <w:rPr>
          <w:rFonts w:hint="eastAsia" w:ascii="宋体" w:hAnsi="宋体" w:cs="宋体"/>
          <w:bCs/>
          <w:sz w:val="24"/>
          <w:szCs w:val="24"/>
        </w:rPr>
        <w:t>截至2025年1月末，公司对外担保均为对子公司的担保，累计担保总额为46,500.00万元，担保余额为 29,526.58万元，担保余额占公司最近一期经审计净资产的12.35%；不存在逾期担保。</w:t>
      </w:r>
    </w:p>
    <w:p w14:paraId="3DC7205B">
      <w:pPr>
        <w:autoSpaceDE w:val="0"/>
        <w:autoSpaceDN w:val="0"/>
        <w:adjustRightInd w:val="0"/>
        <w:spacing w:before="159" w:beforeLines="50" w:line="360" w:lineRule="auto"/>
        <w:ind w:firstLine="480" w:firstLineChars="200"/>
        <w:rPr>
          <w:rFonts w:hint="eastAsia" w:ascii="宋体" w:hAnsi="宋体" w:cs="宋体"/>
          <w:bCs/>
          <w:sz w:val="24"/>
          <w:szCs w:val="24"/>
        </w:rPr>
      </w:pPr>
      <w:r>
        <w:rPr>
          <w:rFonts w:hint="eastAsia" w:ascii="宋体" w:hAnsi="宋体" w:cs="宋体"/>
          <w:bCs/>
          <w:sz w:val="24"/>
          <w:szCs w:val="24"/>
        </w:rPr>
        <w:t>截止2025年1月末，公司及子公司可用担保额度为140,000.00万元（包含惠泽电器10,000.00万元、黔南望江20,000.00万元和云变电气110,000.00万元），均为经公司2024年第三次临时股东会会议审议通过的2025年度担保额度。</w:t>
      </w:r>
    </w:p>
    <w:p w14:paraId="0781C32D">
      <w:pPr>
        <w:autoSpaceDE w:val="0"/>
        <w:autoSpaceDN w:val="0"/>
        <w:adjustRightInd w:val="0"/>
        <w:spacing w:before="159" w:beforeLines="50" w:line="360" w:lineRule="auto"/>
        <w:ind w:firstLine="480" w:firstLineChars="200"/>
        <w:rPr>
          <w:rFonts w:hint="eastAsia" w:ascii="宋体" w:hAnsi="宋体" w:cs="宋体"/>
          <w:b/>
          <w:sz w:val="24"/>
          <w:szCs w:val="24"/>
        </w:rPr>
      </w:pPr>
      <w:r>
        <w:rPr>
          <w:rFonts w:hint="eastAsia" w:ascii="宋体" w:hAnsi="宋体" w:cs="宋体"/>
          <w:kern w:val="0"/>
          <w:sz w:val="24"/>
          <w:szCs w:val="24"/>
        </w:rPr>
        <w:t>特此公告。</w:t>
      </w:r>
    </w:p>
    <w:p w14:paraId="2EDFB188">
      <w:pPr>
        <w:autoSpaceDE w:val="0"/>
        <w:autoSpaceDN w:val="0"/>
        <w:adjustRightInd w:val="0"/>
        <w:spacing w:line="560" w:lineRule="exact"/>
        <w:jc w:val="left"/>
        <w:rPr>
          <w:rFonts w:hint="eastAsia" w:ascii="宋体" w:hAnsi="宋体" w:cs="宋体"/>
          <w:kern w:val="0"/>
          <w:sz w:val="24"/>
          <w:szCs w:val="24"/>
        </w:rPr>
      </w:pPr>
    </w:p>
    <w:p w14:paraId="530905B0">
      <w:pPr>
        <w:adjustRightInd w:val="0"/>
        <w:snapToGrid w:val="0"/>
        <w:spacing w:line="560" w:lineRule="exact"/>
        <w:ind w:firstLine="480" w:firstLineChars="200"/>
        <w:jc w:val="right"/>
        <w:rPr>
          <w:rFonts w:hint="eastAsia" w:ascii="宋体" w:hAnsi="宋体"/>
          <w:sz w:val="24"/>
          <w:szCs w:val="24"/>
        </w:rPr>
      </w:pPr>
      <w:r>
        <w:rPr>
          <w:rFonts w:hint="eastAsia" w:ascii="宋体" w:hAnsi="宋体" w:cs="宋体"/>
          <w:kern w:val="0"/>
          <w:sz w:val="24"/>
          <w:szCs w:val="24"/>
        </w:rPr>
        <w:t>重庆望变电气（集团）</w:t>
      </w:r>
      <w:r>
        <w:rPr>
          <w:rFonts w:hint="eastAsia" w:ascii="宋体" w:hAnsi="宋体" w:cs="仿宋_GB2312"/>
          <w:sz w:val="24"/>
          <w:szCs w:val="24"/>
        </w:rPr>
        <w:t>股</w:t>
      </w:r>
      <w:r>
        <w:rPr>
          <w:rFonts w:hint="eastAsia" w:ascii="宋体" w:hAnsi="宋体"/>
          <w:sz w:val="24"/>
          <w:szCs w:val="24"/>
        </w:rPr>
        <w:t>份有限公司董事会</w:t>
      </w:r>
    </w:p>
    <w:p w14:paraId="408BD968">
      <w:pPr>
        <w:adjustRightInd w:val="0"/>
        <w:snapToGrid w:val="0"/>
        <w:spacing w:line="560" w:lineRule="exact"/>
        <w:ind w:firstLine="480" w:firstLineChars="200"/>
        <w:jc w:val="right"/>
        <w:rPr>
          <w:rFonts w:hint="eastAsia" w:ascii="宋体" w:hAnsi="宋体" w:cs="宋体"/>
          <w:kern w:val="0"/>
          <w:sz w:val="24"/>
          <w:szCs w:val="24"/>
        </w:rPr>
      </w:pPr>
      <w:r>
        <w:rPr>
          <w:rFonts w:ascii="宋体" w:hAnsi="宋体"/>
          <w:sz w:val="24"/>
          <w:szCs w:val="24"/>
        </w:rPr>
        <w:t>202</w:t>
      </w:r>
      <w:r>
        <w:rPr>
          <w:rFonts w:hint="eastAsia" w:ascii="宋体" w:hAnsi="宋体"/>
          <w:sz w:val="24"/>
          <w:szCs w:val="24"/>
        </w:rPr>
        <w:t>5年2月7日</w:t>
      </w:r>
    </w:p>
    <w:p w14:paraId="67A2A472">
      <w:pPr>
        <w:autoSpaceDE w:val="0"/>
        <w:autoSpaceDN w:val="0"/>
        <w:adjustRightInd w:val="0"/>
        <w:snapToGrid w:val="0"/>
        <w:spacing w:line="560" w:lineRule="exact"/>
        <w:ind w:firstLine="480" w:firstLineChars="200"/>
        <w:rPr>
          <w:rFonts w:hint="eastAsia" w:ascii="宋体" w:hAnsi="宋体" w:cs="宋体"/>
          <w:sz w:val="24"/>
          <w:szCs w:val="24"/>
        </w:rPr>
      </w:pPr>
    </w:p>
    <w:p w14:paraId="4CCB618B"/>
    <w:sectPr>
      <w:footerReference r:id="rId3"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501252"/>
    </w:sdtPr>
    <w:sdtContent>
      <w:p w14:paraId="49F2DEA0">
        <w:pPr>
          <w:pStyle w:val="55"/>
          <w:jc w:val="center"/>
        </w:pPr>
        <w:r>
          <w:fldChar w:fldCharType="begin"/>
        </w:r>
        <w:r>
          <w:instrText xml:space="preserve"> PAGE   \* MERGEFORMAT </w:instrText>
        </w:r>
        <w:r>
          <w:fldChar w:fldCharType="separate"/>
        </w:r>
        <w:r>
          <w:rPr>
            <w:lang w:val="zh-CN"/>
          </w:rPr>
          <w:t>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604579"/>
    <w:multiLevelType w:val="singleLevel"/>
    <w:tmpl w:val="D5604579"/>
    <w:lvl w:ilvl="0" w:tentative="0">
      <w:start w:val="1"/>
      <w:numFmt w:val="bullet"/>
      <w:lvlText w:val=""/>
      <w:lvlJc w:val="left"/>
      <w:pPr>
        <w:ind w:left="420" w:hanging="420"/>
      </w:pPr>
      <w:rPr>
        <w:rFonts w:hint="default" w:ascii="Wingdings" w:hAnsi="Wingdings"/>
      </w:rPr>
    </w:lvl>
  </w:abstractNum>
  <w:abstractNum w:abstractNumId="1">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2">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3">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4">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5">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6">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7">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8">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9">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10">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abstractNum w:abstractNumId="11">
    <w:nsid w:val="22712713"/>
    <w:multiLevelType w:val="singleLevel"/>
    <w:tmpl w:val="22712713"/>
    <w:lvl w:ilvl="0" w:tentative="0">
      <w:start w:val="1"/>
      <w:numFmt w:val="bullet"/>
      <w:pStyle w:val="94"/>
      <w:lvlText w:val=""/>
      <w:lvlJc w:val="left"/>
      <w:pPr>
        <w:ind w:left="420" w:hanging="420"/>
      </w:pPr>
      <w:rPr>
        <w:rFonts w:hint="default" w:ascii="Wingdings" w:hAnsi="Wingdings"/>
      </w:rPr>
    </w:lvl>
  </w:abstractNum>
  <w:abstractNum w:abstractNumId="12">
    <w:nsid w:val="40EC9271"/>
    <w:multiLevelType w:val="singleLevel"/>
    <w:tmpl w:val="40EC9271"/>
    <w:lvl w:ilvl="0" w:tentative="0">
      <w:start w:val="2"/>
      <w:numFmt w:val="chineseCounting"/>
      <w:suff w:val="nothing"/>
      <w:lvlText w:val="%1、"/>
      <w:lvlJc w:val="left"/>
      <w:rPr>
        <w:rFonts w:hint="eastAsia"/>
      </w:rPr>
    </w:lvl>
  </w:abstractNum>
  <w:abstractNum w:abstractNumId="13">
    <w:nsid w:val="655C0D75"/>
    <w:multiLevelType w:val="singleLevel"/>
    <w:tmpl w:val="655C0D75"/>
    <w:lvl w:ilvl="0" w:tentative="0">
      <w:start w:val="1"/>
      <w:numFmt w:val="chineseCounting"/>
      <w:suff w:val="nothing"/>
      <w:lvlText w:val="%1、"/>
      <w:lvlJc w:val="left"/>
      <w:rPr>
        <w:rFonts w:hint="eastAsia"/>
      </w:r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11"/>
  </w:num>
  <w:num w:numId="12">
    <w:abstractNumId w:val="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trackRevisions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lNzQyZmI5OWM5OGM0MjRkNWIyMzRjOTlhMGU0Y2QifQ=="/>
  </w:docVars>
  <w:rsids>
    <w:rsidRoot w:val="00BF2ECD"/>
    <w:rsid w:val="00000558"/>
    <w:rsid w:val="00000BC9"/>
    <w:rsid w:val="0000604D"/>
    <w:rsid w:val="00030B8F"/>
    <w:rsid w:val="000369D9"/>
    <w:rsid w:val="00037429"/>
    <w:rsid w:val="000434C6"/>
    <w:rsid w:val="00044B7A"/>
    <w:rsid w:val="000507FA"/>
    <w:rsid w:val="00050D8C"/>
    <w:rsid w:val="00051D15"/>
    <w:rsid w:val="00054EEE"/>
    <w:rsid w:val="00060DFA"/>
    <w:rsid w:val="00064333"/>
    <w:rsid w:val="000671F4"/>
    <w:rsid w:val="00070F49"/>
    <w:rsid w:val="0007156E"/>
    <w:rsid w:val="000764C3"/>
    <w:rsid w:val="00082408"/>
    <w:rsid w:val="00084C5D"/>
    <w:rsid w:val="00087F94"/>
    <w:rsid w:val="00095674"/>
    <w:rsid w:val="000A490B"/>
    <w:rsid w:val="000B677B"/>
    <w:rsid w:val="000E2AAC"/>
    <w:rsid w:val="000E3807"/>
    <w:rsid w:val="000E795D"/>
    <w:rsid w:val="00101EA2"/>
    <w:rsid w:val="00124FA5"/>
    <w:rsid w:val="00125C8C"/>
    <w:rsid w:val="00126188"/>
    <w:rsid w:val="001335CF"/>
    <w:rsid w:val="001368F4"/>
    <w:rsid w:val="001619B6"/>
    <w:rsid w:val="00161C50"/>
    <w:rsid w:val="001631B1"/>
    <w:rsid w:val="00177222"/>
    <w:rsid w:val="001903B0"/>
    <w:rsid w:val="001B5730"/>
    <w:rsid w:val="001C165F"/>
    <w:rsid w:val="001C235A"/>
    <w:rsid w:val="001D0405"/>
    <w:rsid w:val="001D4B82"/>
    <w:rsid w:val="001E4E44"/>
    <w:rsid w:val="001E6FB1"/>
    <w:rsid w:val="001E7562"/>
    <w:rsid w:val="001F0293"/>
    <w:rsid w:val="001F3BAD"/>
    <w:rsid w:val="002032FC"/>
    <w:rsid w:val="002051AC"/>
    <w:rsid w:val="00207506"/>
    <w:rsid w:val="002114BE"/>
    <w:rsid w:val="00224E96"/>
    <w:rsid w:val="00246976"/>
    <w:rsid w:val="00266A7C"/>
    <w:rsid w:val="00272D61"/>
    <w:rsid w:val="00287610"/>
    <w:rsid w:val="002878A7"/>
    <w:rsid w:val="00294DFB"/>
    <w:rsid w:val="002B1A65"/>
    <w:rsid w:val="002B291C"/>
    <w:rsid w:val="002C32E2"/>
    <w:rsid w:val="002C3AF3"/>
    <w:rsid w:val="002C5387"/>
    <w:rsid w:val="002D6A43"/>
    <w:rsid w:val="002E2215"/>
    <w:rsid w:val="002F1340"/>
    <w:rsid w:val="002F33C4"/>
    <w:rsid w:val="002F4948"/>
    <w:rsid w:val="002F5CBD"/>
    <w:rsid w:val="002F6DC2"/>
    <w:rsid w:val="002F6FD5"/>
    <w:rsid w:val="0030115C"/>
    <w:rsid w:val="003051B5"/>
    <w:rsid w:val="003127EC"/>
    <w:rsid w:val="00313A26"/>
    <w:rsid w:val="00316757"/>
    <w:rsid w:val="00332636"/>
    <w:rsid w:val="00335DCA"/>
    <w:rsid w:val="00342251"/>
    <w:rsid w:val="00343F60"/>
    <w:rsid w:val="00347210"/>
    <w:rsid w:val="00352F3F"/>
    <w:rsid w:val="003A3C4B"/>
    <w:rsid w:val="003A4934"/>
    <w:rsid w:val="003A6877"/>
    <w:rsid w:val="003B5E5C"/>
    <w:rsid w:val="003C13ED"/>
    <w:rsid w:val="003C3E72"/>
    <w:rsid w:val="003D1D39"/>
    <w:rsid w:val="003D4987"/>
    <w:rsid w:val="003D500E"/>
    <w:rsid w:val="003E399E"/>
    <w:rsid w:val="003F26EB"/>
    <w:rsid w:val="00404524"/>
    <w:rsid w:val="00412966"/>
    <w:rsid w:val="004166FA"/>
    <w:rsid w:val="00421FBB"/>
    <w:rsid w:val="00432414"/>
    <w:rsid w:val="004417CE"/>
    <w:rsid w:val="004617FD"/>
    <w:rsid w:val="00481530"/>
    <w:rsid w:val="004A27BC"/>
    <w:rsid w:val="004B6940"/>
    <w:rsid w:val="004C3D35"/>
    <w:rsid w:val="004E11B1"/>
    <w:rsid w:val="004F4D81"/>
    <w:rsid w:val="004F792E"/>
    <w:rsid w:val="00501890"/>
    <w:rsid w:val="0050197F"/>
    <w:rsid w:val="00507042"/>
    <w:rsid w:val="0052284A"/>
    <w:rsid w:val="0052751C"/>
    <w:rsid w:val="00527F05"/>
    <w:rsid w:val="005555B7"/>
    <w:rsid w:val="00563DEF"/>
    <w:rsid w:val="005700E6"/>
    <w:rsid w:val="005928B0"/>
    <w:rsid w:val="00593D94"/>
    <w:rsid w:val="005950D7"/>
    <w:rsid w:val="005A5697"/>
    <w:rsid w:val="005B06D0"/>
    <w:rsid w:val="005B1790"/>
    <w:rsid w:val="005B1CE9"/>
    <w:rsid w:val="005E015E"/>
    <w:rsid w:val="005E0D94"/>
    <w:rsid w:val="005F0BAA"/>
    <w:rsid w:val="006004F3"/>
    <w:rsid w:val="0061300F"/>
    <w:rsid w:val="0061302E"/>
    <w:rsid w:val="00616B8A"/>
    <w:rsid w:val="00621D2E"/>
    <w:rsid w:val="006227F4"/>
    <w:rsid w:val="00623320"/>
    <w:rsid w:val="006233E1"/>
    <w:rsid w:val="00631267"/>
    <w:rsid w:val="00636AA5"/>
    <w:rsid w:val="00641271"/>
    <w:rsid w:val="006414A6"/>
    <w:rsid w:val="00651E5A"/>
    <w:rsid w:val="00656B76"/>
    <w:rsid w:val="0065737B"/>
    <w:rsid w:val="0066648F"/>
    <w:rsid w:val="006754DD"/>
    <w:rsid w:val="00692CB8"/>
    <w:rsid w:val="006A782A"/>
    <w:rsid w:val="006B13DA"/>
    <w:rsid w:val="006B1B09"/>
    <w:rsid w:val="006B2315"/>
    <w:rsid w:val="006B45CE"/>
    <w:rsid w:val="006B4A91"/>
    <w:rsid w:val="006B6910"/>
    <w:rsid w:val="006C2D1F"/>
    <w:rsid w:val="006C312B"/>
    <w:rsid w:val="006C6811"/>
    <w:rsid w:val="006D1676"/>
    <w:rsid w:val="006D6459"/>
    <w:rsid w:val="007041A1"/>
    <w:rsid w:val="00713C80"/>
    <w:rsid w:val="00721749"/>
    <w:rsid w:val="007310E5"/>
    <w:rsid w:val="00732D11"/>
    <w:rsid w:val="0073774F"/>
    <w:rsid w:val="00740449"/>
    <w:rsid w:val="00745B5F"/>
    <w:rsid w:val="0075445C"/>
    <w:rsid w:val="0076073C"/>
    <w:rsid w:val="00776B0C"/>
    <w:rsid w:val="007946B0"/>
    <w:rsid w:val="00795307"/>
    <w:rsid w:val="007A42EC"/>
    <w:rsid w:val="007A54FF"/>
    <w:rsid w:val="007B4990"/>
    <w:rsid w:val="007C00D5"/>
    <w:rsid w:val="007C1F91"/>
    <w:rsid w:val="007C343C"/>
    <w:rsid w:val="007C655F"/>
    <w:rsid w:val="007D539C"/>
    <w:rsid w:val="007D7D45"/>
    <w:rsid w:val="007E7845"/>
    <w:rsid w:val="008026A0"/>
    <w:rsid w:val="00816C8F"/>
    <w:rsid w:val="00826B51"/>
    <w:rsid w:val="0083455D"/>
    <w:rsid w:val="00861F0B"/>
    <w:rsid w:val="008625FB"/>
    <w:rsid w:val="00866013"/>
    <w:rsid w:val="00885E01"/>
    <w:rsid w:val="00891EE8"/>
    <w:rsid w:val="008A12F9"/>
    <w:rsid w:val="008A76CD"/>
    <w:rsid w:val="008B360D"/>
    <w:rsid w:val="008B4652"/>
    <w:rsid w:val="008C75E8"/>
    <w:rsid w:val="008D10ED"/>
    <w:rsid w:val="008D7908"/>
    <w:rsid w:val="008D7D16"/>
    <w:rsid w:val="008E2FF0"/>
    <w:rsid w:val="008F3FFE"/>
    <w:rsid w:val="00904DB6"/>
    <w:rsid w:val="00906FA1"/>
    <w:rsid w:val="00912197"/>
    <w:rsid w:val="00913A1A"/>
    <w:rsid w:val="009238FB"/>
    <w:rsid w:val="009477DC"/>
    <w:rsid w:val="009536D8"/>
    <w:rsid w:val="00955454"/>
    <w:rsid w:val="0095561C"/>
    <w:rsid w:val="00955DC4"/>
    <w:rsid w:val="00960BDB"/>
    <w:rsid w:val="00962784"/>
    <w:rsid w:val="0096329B"/>
    <w:rsid w:val="0097194D"/>
    <w:rsid w:val="009752E9"/>
    <w:rsid w:val="00977420"/>
    <w:rsid w:val="0099027E"/>
    <w:rsid w:val="00992A41"/>
    <w:rsid w:val="009A242D"/>
    <w:rsid w:val="009A3EBC"/>
    <w:rsid w:val="009B605A"/>
    <w:rsid w:val="009C18AC"/>
    <w:rsid w:val="009C3379"/>
    <w:rsid w:val="00A06636"/>
    <w:rsid w:val="00A20224"/>
    <w:rsid w:val="00A317FA"/>
    <w:rsid w:val="00A369A9"/>
    <w:rsid w:val="00A4773A"/>
    <w:rsid w:val="00A50776"/>
    <w:rsid w:val="00A563BC"/>
    <w:rsid w:val="00A56BD4"/>
    <w:rsid w:val="00A750F9"/>
    <w:rsid w:val="00A80442"/>
    <w:rsid w:val="00A87F63"/>
    <w:rsid w:val="00A9108C"/>
    <w:rsid w:val="00AA1DF6"/>
    <w:rsid w:val="00AA36C5"/>
    <w:rsid w:val="00AC6182"/>
    <w:rsid w:val="00AD2992"/>
    <w:rsid w:val="00AD7080"/>
    <w:rsid w:val="00AE01A3"/>
    <w:rsid w:val="00AE3517"/>
    <w:rsid w:val="00AF4CB2"/>
    <w:rsid w:val="00B10348"/>
    <w:rsid w:val="00B10A2A"/>
    <w:rsid w:val="00B12308"/>
    <w:rsid w:val="00B13505"/>
    <w:rsid w:val="00B152B7"/>
    <w:rsid w:val="00B253D1"/>
    <w:rsid w:val="00B25554"/>
    <w:rsid w:val="00B3338B"/>
    <w:rsid w:val="00B35C9C"/>
    <w:rsid w:val="00B575AF"/>
    <w:rsid w:val="00B65460"/>
    <w:rsid w:val="00B656C4"/>
    <w:rsid w:val="00B66D7C"/>
    <w:rsid w:val="00B90010"/>
    <w:rsid w:val="00B96BB6"/>
    <w:rsid w:val="00BA03AD"/>
    <w:rsid w:val="00BC4BBB"/>
    <w:rsid w:val="00BD7901"/>
    <w:rsid w:val="00BE0431"/>
    <w:rsid w:val="00BE7AC6"/>
    <w:rsid w:val="00BF2ECD"/>
    <w:rsid w:val="00BF54FF"/>
    <w:rsid w:val="00C061F6"/>
    <w:rsid w:val="00C11467"/>
    <w:rsid w:val="00C11DBC"/>
    <w:rsid w:val="00C21159"/>
    <w:rsid w:val="00C2610B"/>
    <w:rsid w:val="00C321FA"/>
    <w:rsid w:val="00C335E9"/>
    <w:rsid w:val="00C37A23"/>
    <w:rsid w:val="00C5077D"/>
    <w:rsid w:val="00C515E8"/>
    <w:rsid w:val="00C55AA9"/>
    <w:rsid w:val="00C578DC"/>
    <w:rsid w:val="00C57B6A"/>
    <w:rsid w:val="00C61E56"/>
    <w:rsid w:val="00C64E83"/>
    <w:rsid w:val="00C67654"/>
    <w:rsid w:val="00C800AF"/>
    <w:rsid w:val="00C937A0"/>
    <w:rsid w:val="00CA5962"/>
    <w:rsid w:val="00CA5E22"/>
    <w:rsid w:val="00CC2A94"/>
    <w:rsid w:val="00CC6A06"/>
    <w:rsid w:val="00CD0630"/>
    <w:rsid w:val="00CE161A"/>
    <w:rsid w:val="00CE38B0"/>
    <w:rsid w:val="00D0021B"/>
    <w:rsid w:val="00D060E9"/>
    <w:rsid w:val="00D061EC"/>
    <w:rsid w:val="00D11AE5"/>
    <w:rsid w:val="00D12713"/>
    <w:rsid w:val="00D14999"/>
    <w:rsid w:val="00D16DF3"/>
    <w:rsid w:val="00D20476"/>
    <w:rsid w:val="00D348AE"/>
    <w:rsid w:val="00D36CEC"/>
    <w:rsid w:val="00D37022"/>
    <w:rsid w:val="00D40D5F"/>
    <w:rsid w:val="00D479B2"/>
    <w:rsid w:val="00D51495"/>
    <w:rsid w:val="00D516F9"/>
    <w:rsid w:val="00D6642E"/>
    <w:rsid w:val="00D706DA"/>
    <w:rsid w:val="00DA6BAB"/>
    <w:rsid w:val="00DB4349"/>
    <w:rsid w:val="00DD1465"/>
    <w:rsid w:val="00DD3A5B"/>
    <w:rsid w:val="00DD5D73"/>
    <w:rsid w:val="00DE0D68"/>
    <w:rsid w:val="00DE24A1"/>
    <w:rsid w:val="00DE2FB4"/>
    <w:rsid w:val="00E06561"/>
    <w:rsid w:val="00E153C6"/>
    <w:rsid w:val="00E1723F"/>
    <w:rsid w:val="00E2700A"/>
    <w:rsid w:val="00E313D8"/>
    <w:rsid w:val="00E35CC1"/>
    <w:rsid w:val="00E360F6"/>
    <w:rsid w:val="00E47DB7"/>
    <w:rsid w:val="00E50EF5"/>
    <w:rsid w:val="00E52836"/>
    <w:rsid w:val="00E54250"/>
    <w:rsid w:val="00E62DAF"/>
    <w:rsid w:val="00E927F8"/>
    <w:rsid w:val="00E92E43"/>
    <w:rsid w:val="00E97E71"/>
    <w:rsid w:val="00EA34E8"/>
    <w:rsid w:val="00EC5C5A"/>
    <w:rsid w:val="00ED0055"/>
    <w:rsid w:val="00ED2FD9"/>
    <w:rsid w:val="00EF138E"/>
    <w:rsid w:val="00EF74FD"/>
    <w:rsid w:val="00F16E07"/>
    <w:rsid w:val="00F2365C"/>
    <w:rsid w:val="00F57B5A"/>
    <w:rsid w:val="00F605B9"/>
    <w:rsid w:val="00F60665"/>
    <w:rsid w:val="00F65A6F"/>
    <w:rsid w:val="00F77490"/>
    <w:rsid w:val="00F84CFA"/>
    <w:rsid w:val="00F964CD"/>
    <w:rsid w:val="00F967B2"/>
    <w:rsid w:val="00FA1CAB"/>
    <w:rsid w:val="00FA54C0"/>
    <w:rsid w:val="00FD1980"/>
    <w:rsid w:val="00FE0712"/>
    <w:rsid w:val="01A21D3D"/>
    <w:rsid w:val="01E50D53"/>
    <w:rsid w:val="02066364"/>
    <w:rsid w:val="02815CE9"/>
    <w:rsid w:val="03134C0F"/>
    <w:rsid w:val="032D4E3E"/>
    <w:rsid w:val="04012B21"/>
    <w:rsid w:val="048F7171"/>
    <w:rsid w:val="07312958"/>
    <w:rsid w:val="073B5BC9"/>
    <w:rsid w:val="07BE292C"/>
    <w:rsid w:val="07C65CA5"/>
    <w:rsid w:val="084C69BC"/>
    <w:rsid w:val="08514037"/>
    <w:rsid w:val="08CA2A7A"/>
    <w:rsid w:val="096251C7"/>
    <w:rsid w:val="0AD705E9"/>
    <w:rsid w:val="0AF50259"/>
    <w:rsid w:val="0B9C5BD8"/>
    <w:rsid w:val="0D8E4A70"/>
    <w:rsid w:val="0E470635"/>
    <w:rsid w:val="0EBC6E9B"/>
    <w:rsid w:val="0FDA2FF1"/>
    <w:rsid w:val="10C85995"/>
    <w:rsid w:val="11162CD7"/>
    <w:rsid w:val="11F04FB0"/>
    <w:rsid w:val="11FD41AB"/>
    <w:rsid w:val="136F6B4F"/>
    <w:rsid w:val="19857952"/>
    <w:rsid w:val="1DD957B9"/>
    <w:rsid w:val="1E79312C"/>
    <w:rsid w:val="20967991"/>
    <w:rsid w:val="213B1B76"/>
    <w:rsid w:val="215D435A"/>
    <w:rsid w:val="21A32B39"/>
    <w:rsid w:val="22237597"/>
    <w:rsid w:val="230A0721"/>
    <w:rsid w:val="23C35C66"/>
    <w:rsid w:val="24100647"/>
    <w:rsid w:val="24BC60E2"/>
    <w:rsid w:val="251B37E1"/>
    <w:rsid w:val="2615746A"/>
    <w:rsid w:val="26401ABD"/>
    <w:rsid w:val="264E6834"/>
    <w:rsid w:val="29173A50"/>
    <w:rsid w:val="29A05578"/>
    <w:rsid w:val="2AAC23F9"/>
    <w:rsid w:val="2B0D2CE4"/>
    <w:rsid w:val="2B693673"/>
    <w:rsid w:val="2C422599"/>
    <w:rsid w:val="2CCD15FB"/>
    <w:rsid w:val="2FB04883"/>
    <w:rsid w:val="309B0366"/>
    <w:rsid w:val="30FC41DF"/>
    <w:rsid w:val="343369E1"/>
    <w:rsid w:val="36372CA9"/>
    <w:rsid w:val="36C409BE"/>
    <w:rsid w:val="373D751E"/>
    <w:rsid w:val="381C2D1C"/>
    <w:rsid w:val="39E2569B"/>
    <w:rsid w:val="3A8D0F72"/>
    <w:rsid w:val="3A960DE3"/>
    <w:rsid w:val="3A9D4FCC"/>
    <w:rsid w:val="3BD46640"/>
    <w:rsid w:val="3C35413D"/>
    <w:rsid w:val="3C6F4907"/>
    <w:rsid w:val="3CF573AA"/>
    <w:rsid w:val="3D624079"/>
    <w:rsid w:val="3D631834"/>
    <w:rsid w:val="3EB91CF7"/>
    <w:rsid w:val="3F946AA7"/>
    <w:rsid w:val="3F9B1851"/>
    <w:rsid w:val="3FFBD36B"/>
    <w:rsid w:val="40F46B66"/>
    <w:rsid w:val="41076FBE"/>
    <w:rsid w:val="41084786"/>
    <w:rsid w:val="41110C42"/>
    <w:rsid w:val="41212946"/>
    <w:rsid w:val="41295BE0"/>
    <w:rsid w:val="41D45DF6"/>
    <w:rsid w:val="42275509"/>
    <w:rsid w:val="42D1600F"/>
    <w:rsid w:val="439C5700"/>
    <w:rsid w:val="45987F90"/>
    <w:rsid w:val="460F40D4"/>
    <w:rsid w:val="4611224F"/>
    <w:rsid w:val="4611554A"/>
    <w:rsid w:val="48695B04"/>
    <w:rsid w:val="49461F7F"/>
    <w:rsid w:val="499F1D78"/>
    <w:rsid w:val="4A2758B7"/>
    <w:rsid w:val="4A983129"/>
    <w:rsid w:val="4B376E07"/>
    <w:rsid w:val="4D556624"/>
    <w:rsid w:val="4EB26519"/>
    <w:rsid w:val="4F020FAD"/>
    <w:rsid w:val="4F095C75"/>
    <w:rsid w:val="50E43F8B"/>
    <w:rsid w:val="524C7FC2"/>
    <w:rsid w:val="52E00474"/>
    <w:rsid w:val="53202F13"/>
    <w:rsid w:val="543371DD"/>
    <w:rsid w:val="546F68B3"/>
    <w:rsid w:val="54FB7285"/>
    <w:rsid w:val="55800C5A"/>
    <w:rsid w:val="55845605"/>
    <w:rsid w:val="565D3A9C"/>
    <w:rsid w:val="57823100"/>
    <w:rsid w:val="57BB00D1"/>
    <w:rsid w:val="57C86637"/>
    <w:rsid w:val="58FF2EFF"/>
    <w:rsid w:val="5919171F"/>
    <w:rsid w:val="59531228"/>
    <w:rsid w:val="5BA66D99"/>
    <w:rsid w:val="5C7436E9"/>
    <w:rsid w:val="5C8255FD"/>
    <w:rsid w:val="5CEE2784"/>
    <w:rsid w:val="5D0E2A44"/>
    <w:rsid w:val="5EAF52F7"/>
    <w:rsid w:val="5EFC0458"/>
    <w:rsid w:val="5F7B6833"/>
    <w:rsid w:val="5FE3F82D"/>
    <w:rsid w:val="5FFD5624"/>
    <w:rsid w:val="611F29C3"/>
    <w:rsid w:val="61AD670E"/>
    <w:rsid w:val="620A112B"/>
    <w:rsid w:val="64787502"/>
    <w:rsid w:val="655C29BA"/>
    <w:rsid w:val="67253B4D"/>
    <w:rsid w:val="67DC6589"/>
    <w:rsid w:val="68B22361"/>
    <w:rsid w:val="69D24BFB"/>
    <w:rsid w:val="6BE74894"/>
    <w:rsid w:val="6D41173A"/>
    <w:rsid w:val="6EEE5B5B"/>
    <w:rsid w:val="6F2BFEC0"/>
    <w:rsid w:val="6F6946EC"/>
    <w:rsid w:val="6F8D7841"/>
    <w:rsid w:val="6F92035A"/>
    <w:rsid w:val="70182BA3"/>
    <w:rsid w:val="73A8198C"/>
    <w:rsid w:val="757F06CF"/>
    <w:rsid w:val="75865A4D"/>
    <w:rsid w:val="75B740CF"/>
    <w:rsid w:val="7636144B"/>
    <w:rsid w:val="76FF27BE"/>
    <w:rsid w:val="77E729E4"/>
    <w:rsid w:val="78624636"/>
    <w:rsid w:val="78852C26"/>
    <w:rsid w:val="794B6266"/>
    <w:rsid w:val="799A21AD"/>
    <w:rsid w:val="7A227FFF"/>
    <w:rsid w:val="7AC13A71"/>
    <w:rsid w:val="7B255AC8"/>
    <w:rsid w:val="7B87500D"/>
    <w:rsid w:val="7D5B007A"/>
    <w:rsid w:val="7D6864F7"/>
    <w:rsid w:val="7E0457F8"/>
    <w:rsid w:val="7E717EAD"/>
    <w:rsid w:val="7EA126C9"/>
    <w:rsid w:val="7EFD57C1"/>
    <w:rsid w:val="7F2351A1"/>
    <w:rsid w:val="7F93D619"/>
    <w:rsid w:val="7FE01AFA"/>
    <w:rsid w:val="8BFFE455"/>
    <w:rsid w:val="A4B35309"/>
    <w:rsid w:val="BEBE0E25"/>
    <w:rsid w:val="E5FB001E"/>
    <w:rsid w:val="EF5F0041"/>
    <w:rsid w:val="FDA7D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qFormat="1" w:uiPriority="99" w:name="index heading"/>
    <w:lsdException w:qFormat="1" w:uiPriority="35" w:name="caption"/>
    <w:lsdException w:qFormat="1" w:uiPriority="99" w:name="table of figures"/>
    <w:lsdException w:qFormat="1" w:uiPriority="99" w:name="envelope address"/>
    <w:lsdException w:qFormat="1"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10" w:semiHidden="0" w:name="Title"/>
    <w:lsdException w:qFormat="1" w:uiPriority="99" w:name="Closing"/>
    <w:lsdException w:qFormat="1" w:uiPriority="99" w:name="Signature"/>
    <w:lsdException w:qFormat="1" w:uiPriority="1" w:name="Default Paragraph Font"/>
    <w:lsdException w:qFormat="1" w:unhideWhenUsed="0" w:uiPriority="0"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iPriority="99" w:name="Quote"/>
    <w:lsdException w:qFormat="1" w:uiPriority="99"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08"/>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1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12"/>
    <w:autoRedefine/>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113"/>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14"/>
    <w:autoRedefine/>
    <w:semiHidden/>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115"/>
    <w:autoRedefine/>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16"/>
    <w:autoRedefine/>
    <w:semiHidden/>
    <w:unhideWhenUsed/>
    <w:qFormat/>
    <w:uiPriority w:val="9"/>
    <w:pPr>
      <w:keepNext/>
      <w:keepLines/>
      <w:spacing w:before="240" w:after="64" w:line="320" w:lineRule="auto"/>
      <w:outlineLvl w:val="6"/>
    </w:pPr>
    <w:rPr>
      <w:b/>
      <w:bCs/>
      <w:sz w:val="24"/>
      <w:szCs w:val="24"/>
    </w:rPr>
  </w:style>
  <w:style w:type="paragraph" w:styleId="10">
    <w:name w:val="heading 8"/>
    <w:basedOn w:val="1"/>
    <w:next w:val="1"/>
    <w:link w:val="117"/>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8"/>
    <w:autoRedefine/>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23"/>
    <w:autoRedefine/>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autoRedefine/>
    <w:semiHidden/>
    <w:unhideWhenUsed/>
    <w:qFormat/>
    <w:uiPriority w:val="99"/>
    <w:pPr>
      <w:ind w:left="100" w:leftChars="400" w:hanging="200" w:hangingChars="200"/>
      <w:contextualSpacing/>
    </w:pPr>
  </w:style>
  <w:style w:type="paragraph" w:styleId="13">
    <w:name w:val="toc 7"/>
    <w:basedOn w:val="1"/>
    <w:next w:val="1"/>
    <w:autoRedefine/>
    <w:semiHidden/>
    <w:unhideWhenUsed/>
    <w:qFormat/>
    <w:uiPriority w:val="39"/>
    <w:pPr>
      <w:ind w:left="2520" w:leftChars="1200"/>
    </w:pPr>
  </w:style>
  <w:style w:type="paragraph" w:styleId="14">
    <w:name w:val="List Number 2"/>
    <w:basedOn w:val="1"/>
    <w:autoRedefine/>
    <w:semiHidden/>
    <w:unhideWhenUsed/>
    <w:qFormat/>
    <w:uiPriority w:val="99"/>
    <w:pPr>
      <w:numPr>
        <w:ilvl w:val="0"/>
        <w:numId w:val="1"/>
      </w:numPr>
      <w:contextualSpacing/>
    </w:pPr>
  </w:style>
  <w:style w:type="paragraph" w:styleId="15">
    <w:name w:val="table of authorities"/>
    <w:basedOn w:val="1"/>
    <w:next w:val="1"/>
    <w:autoRedefine/>
    <w:semiHidden/>
    <w:unhideWhenUsed/>
    <w:qFormat/>
    <w:uiPriority w:val="99"/>
    <w:pPr>
      <w:ind w:left="420" w:leftChars="200"/>
    </w:pPr>
  </w:style>
  <w:style w:type="paragraph" w:styleId="16">
    <w:name w:val="Note Heading"/>
    <w:basedOn w:val="1"/>
    <w:next w:val="1"/>
    <w:link w:val="145"/>
    <w:autoRedefine/>
    <w:semiHidden/>
    <w:unhideWhenUsed/>
    <w:qFormat/>
    <w:uiPriority w:val="99"/>
    <w:pPr>
      <w:jc w:val="center"/>
    </w:pPr>
  </w:style>
  <w:style w:type="paragraph" w:styleId="17">
    <w:name w:val="List Bullet 4"/>
    <w:basedOn w:val="1"/>
    <w:autoRedefine/>
    <w:semiHidden/>
    <w:unhideWhenUsed/>
    <w:qFormat/>
    <w:uiPriority w:val="99"/>
    <w:pPr>
      <w:numPr>
        <w:ilvl w:val="0"/>
        <w:numId w:val="2"/>
      </w:numPr>
      <w:contextualSpacing/>
    </w:pPr>
  </w:style>
  <w:style w:type="paragraph" w:styleId="18">
    <w:name w:val="index 8"/>
    <w:basedOn w:val="1"/>
    <w:next w:val="1"/>
    <w:autoRedefine/>
    <w:semiHidden/>
    <w:unhideWhenUsed/>
    <w:qFormat/>
    <w:uiPriority w:val="99"/>
    <w:pPr>
      <w:ind w:left="1400" w:leftChars="1400"/>
    </w:pPr>
  </w:style>
  <w:style w:type="paragraph" w:styleId="19">
    <w:name w:val="E-mail Signature"/>
    <w:basedOn w:val="1"/>
    <w:link w:val="121"/>
    <w:autoRedefine/>
    <w:semiHidden/>
    <w:unhideWhenUsed/>
    <w:qFormat/>
    <w:uiPriority w:val="99"/>
  </w:style>
  <w:style w:type="paragraph" w:styleId="20">
    <w:name w:val="List Number"/>
    <w:basedOn w:val="1"/>
    <w:autoRedefine/>
    <w:semiHidden/>
    <w:unhideWhenUsed/>
    <w:qFormat/>
    <w:uiPriority w:val="99"/>
    <w:pPr>
      <w:numPr>
        <w:ilvl w:val="0"/>
        <w:numId w:val="3"/>
      </w:numPr>
      <w:contextualSpacing/>
    </w:pPr>
  </w:style>
  <w:style w:type="paragraph" w:styleId="21">
    <w:name w:val="Normal Indent"/>
    <w:basedOn w:val="1"/>
    <w:autoRedefine/>
    <w:semiHidden/>
    <w:unhideWhenUsed/>
    <w:qFormat/>
    <w:uiPriority w:val="99"/>
    <w:pPr>
      <w:ind w:firstLine="420" w:firstLineChars="200"/>
    </w:pPr>
  </w:style>
  <w:style w:type="paragraph" w:styleId="22">
    <w:name w:val="caption"/>
    <w:basedOn w:val="1"/>
    <w:next w:val="1"/>
    <w:autoRedefine/>
    <w:semiHidden/>
    <w:unhideWhenUsed/>
    <w:qFormat/>
    <w:uiPriority w:val="35"/>
    <w:rPr>
      <w:rFonts w:eastAsia="黑体" w:asciiTheme="majorHAnsi" w:hAnsiTheme="majorHAnsi" w:cstheme="majorBidi"/>
      <w:sz w:val="20"/>
      <w:szCs w:val="20"/>
    </w:rPr>
  </w:style>
  <w:style w:type="paragraph" w:styleId="23">
    <w:name w:val="index 5"/>
    <w:basedOn w:val="1"/>
    <w:next w:val="1"/>
    <w:autoRedefine/>
    <w:semiHidden/>
    <w:unhideWhenUsed/>
    <w:qFormat/>
    <w:uiPriority w:val="99"/>
    <w:pPr>
      <w:ind w:left="800" w:leftChars="800"/>
    </w:pPr>
  </w:style>
  <w:style w:type="paragraph" w:styleId="24">
    <w:name w:val="List Bullet"/>
    <w:basedOn w:val="1"/>
    <w:autoRedefine/>
    <w:semiHidden/>
    <w:unhideWhenUsed/>
    <w:qFormat/>
    <w:uiPriority w:val="99"/>
    <w:pPr>
      <w:numPr>
        <w:ilvl w:val="0"/>
        <w:numId w:val="4"/>
      </w:numPr>
      <w:contextualSpacing/>
    </w:pPr>
  </w:style>
  <w:style w:type="paragraph" w:styleId="25">
    <w:name w:val="envelope address"/>
    <w:basedOn w:val="1"/>
    <w:autoRedefine/>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32"/>
    <w:autoRedefine/>
    <w:semiHidden/>
    <w:unhideWhenUsed/>
    <w:qFormat/>
    <w:uiPriority w:val="99"/>
    <w:rPr>
      <w:rFonts w:ascii="Microsoft YaHei UI" w:eastAsia="Microsoft YaHei UI"/>
      <w:sz w:val="18"/>
      <w:szCs w:val="18"/>
    </w:rPr>
  </w:style>
  <w:style w:type="paragraph" w:styleId="27">
    <w:name w:val="toa heading"/>
    <w:basedOn w:val="1"/>
    <w:next w:val="1"/>
    <w:autoRedefine/>
    <w:semiHidden/>
    <w:unhideWhenUsed/>
    <w:qFormat/>
    <w:uiPriority w:val="99"/>
    <w:pPr>
      <w:spacing w:before="120"/>
    </w:pPr>
    <w:rPr>
      <w:rFonts w:asciiTheme="majorHAnsi" w:hAnsiTheme="majorHAnsi" w:eastAsiaTheme="majorEastAsia" w:cstheme="majorBidi"/>
      <w:sz w:val="24"/>
      <w:szCs w:val="24"/>
    </w:rPr>
  </w:style>
  <w:style w:type="paragraph" w:styleId="28">
    <w:name w:val="annotation text"/>
    <w:basedOn w:val="1"/>
    <w:link w:val="99"/>
    <w:autoRedefine/>
    <w:unhideWhenUsed/>
    <w:qFormat/>
    <w:uiPriority w:val="0"/>
    <w:pPr>
      <w:jc w:val="left"/>
    </w:pPr>
  </w:style>
  <w:style w:type="paragraph" w:styleId="29">
    <w:name w:val="index 6"/>
    <w:basedOn w:val="1"/>
    <w:next w:val="1"/>
    <w:autoRedefine/>
    <w:semiHidden/>
    <w:unhideWhenUsed/>
    <w:qFormat/>
    <w:uiPriority w:val="99"/>
    <w:pPr>
      <w:ind w:left="1000" w:leftChars="1000"/>
    </w:pPr>
  </w:style>
  <w:style w:type="paragraph" w:styleId="30">
    <w:name w:val="Salutation"/>
    <w:basedOn w:val="1"/>
    <w:next w:val="1"/>
    <w:link w:val="119"/>
    <w:autoRedefine/>
    <w:semiHidden/>
    <w:unhideWhenUsed/>
    <w:qFormat/>
    <w:uiPriority w:val="99"/>
  </w:style>
  <w:style w:type="paragraph" w:styleId="31">
    <w:name w:val="Body Text 3"/>
    <w:basedOn w:val="1"/>
    <w:link w:val="138"/>
    <w:autoRedefine/>
    <w:semiHidden/>
    <w:unhideWhenUsed/>
    <w:qFormat/>
    <w:uiPriority w:val="99"/>
    <w:pPr>
      <w:spacing w:after="120"/>
    </w:pPr>
    <w:rPr>
      <w:sz w:val="16"/>
      <w:szCs w:val="16"/>
    </w:rPr>
  </w:style>
  <w:style w:type="paragraph" w:styleId="32">
    <w:name w:val="Closing"/>
    <w:basedOn w:val="1"/>
    <w:link w:val="125"/>
    <w:autoRedefine/>
    <w:semiHidden/>
    <w:unhideWhenUsed/>
    <w:qFormat/>
    <w:uiPriority w:val="99"/>
    <w:pPr>
      <w:ind w:left="100" w:leftChars="2100"/>
    </w:pPr>
  </w:style>
  <w:style w:type="paragraph" w:styleId="33">
    <w:name w:val="List Bullet 3"/>
    <w:basedOn w:val="1"/>
    <w:autoRedefine/>
    <w:semiHidden/>
    <w:unhideWhenUsed/>
    <w:qFormat/>
    <w:uiPriority w:val="99"/>
    <w:pPr>
      <w:numPr>
        <w:ilvl w:val="0"/>
        <w:numId w:val="5"/>
      </w:numPr>
      <w:contextualSpacing/>
    </w:pPr>
  </w:style>
  <w:style w:type="paragraph" w:styleId="34">
    <w:name w:val="Body Text"/>
    <w:basedOn w:val="1"/>
    <w:link w:val="139"/>
    <w:autoRedefine/>
    <w:semiHidden/>
    <w:qFormat/>
    <w:uiPriority w:val="0"/>
    <w:rPr>
      <w:rFonts w:ascii="宋体" w:hAnsi="宋体" w:cs="宋体"/>
      <w:sz w:val="35"/>
      <w:szCs w:val="35"/>
      <w:lang w:eastAsia="en-US"/>
    </w:rPr>
  </w:style>
  <w:style w:type="paragraph" w:styleId="35">
    <w:name w:val="Body Text Indent"/>
    <w:basedOn w:val="1"/>
    <w:link w:val="141"/>
    <w:autoRedefine/>
    <w:semiHidden/>
    <w:unhideWhenUsed/>
    <w:qFormat/>
    <w:uiPriority w:val="99"/>
    <w:pPr>
      <w:spacing w:after="120"/>
      <w:ind w:left="420" w:leftChars="200"/>
    </w:pPr>
  </w:style>
  <w:style w:type="paragraph" w:styleId="36">
    <w:name w:val="List Number 3"/>
    <w:basedOn w:val="1"/>
    <w:autoRedefine/>
    <w:semiHidden/>
    <w:unhideWhenUsed/>
    <w:qFormat/>
    <w:uiPriority w:val="99"/>
    <w:pPr>
      <w:numPr>
        <w:ilvl w:val="0"/>
        <w:numId w:val="6"/>
      </w:numPr>
      <w:contextualSpacing/>
    </w:pPr>
  </w:style>
  <w:style w:type="paragraph" w:styleId="37">
    <w:name w:val="List 2"/>
    <w:basedOn w:val="1"/>
    <w:autoRedefine/>
    <w:semiHidden/>
    <w:unhideWhenUsed/>
    <w:qFormat/>
    <w:uiPriority w:val="99"/>
    <w:pPr>
      <w:ind w:left="100" w:leftChars="200" w:hanging="200" w:hangingChars="200"/>
      <w:contextualSpacing/>
    </w:pPr>
  </w:style>
  <w:style w:type="paragraph" w:styleId="38">
    <w:name w:val="List Continue"/>
    <w:basedOn w:val="1"/>
    <w:autoRedefine/>
    <w:semiHidden/>
    <w:unhideWhenUsed/>
    <w:qFormat/>
    <w:uiPriority w:val="99"/>
    <w:pPr>
      <w:spacing w:after="120"/>
      <w:ind w:left="420" w:leftChars="200"/>
      <w:contextualSpacing/>
    </w:pPr>
  </w:style>
  <w:style w:type="paragraph" w:styleId="39">
    <w:name w:val="Block Text"/>
    <w:basedOn w:val="1"/>
    <w:autoRedefine/>
    <w:semiHidden/>
    <w:unhideWhenUsed/>
    <w:qFormat/>
    <w:uiPriority w:val="99"/>
    <w:pPr>
      <w:spacing w:after="120"/>
      <w:ind w:left="1440" w:leftChars="700" w:right="1440" w:rightChars="700"/>
    </w:pPr>
  </w:style>
  <w:style w:type="paragraph" w:styleId="40">
    <w:name w:val="List Bullet 2"/>
    <w:basedOn w:val="1"/>
    <w:autoRedefine/>
    <w:semiHidden/>
    <w:unhideWhenUsed/>
    <w:qFormat/>
    <w:uiPriority w:val="99"/>
    <w:pPr>
      <w:numPr>
        <w:ilvl w:val="0"/>
        <w:numId w:val="7"/>
      </w:numPr>
      <w:contextualSpacing/>
    </w:pPr>
  </w:style>
  <w:style w:type="paragraph" w:styleId="41">
    <w:name w:val="HTML Address"/>
    <w:basedOn w:val="1"/>
    <w:link w:val="106"/>
    <w:autoRedefine/>
    <w:semiHidden/>
    <w:unhideWhenUsed/>
    <w:qFormat/>
    <w:uiPriority w:val="99"/>
    <w:rPr>
      <w:i/>
      <w:iCs/>
    </w:rPr>
  </w:style>
  <w:style w:type="paragraph" w:styleId="42">
    <w:name w:val="index 4"/>
    <w:basedOn w:val="1"/>
    <w:next w:val="1"/>
    <w:autoRedefine/>
    <w:semiHidden/>
    <w:unhideWhenUsed/>
    <w:qFormat/>
    <w:uiPriority w:val="99"/>
    <w:pPr>
      <w:ind w:left="600" w:leftChars="600"/>
    </w:pPr>
  </w:style>
  <w:style w:type="paragraph" w:styleId="43">
    <w:name w:val="toc 5"/>
    <w:basedOn w:val="1"/>
    <w:next w:val="1"/>
    <w:autoRedefine/>
    <w:semiHidden/>
    <w:unhideWhenUsed/>
    <w:qFormat/>
    <w:uiPriority w:val="39"/>
    <w:pPr>
      <w:ind w:left="1680" w:leftChars="800"/>
    </w:pPr>
  </w:style>
  <w:style w:type="paragraph" w:styleId="44">
    <w:name w:val="toc 3"/>
    <w:basedOn w:val="1"/>
    <w:next w:val="1"/>
    <w:autoRedefine/>
    <w:semiHidden/>
    <w:unhideWhenUsed/>
    <w:qFormat/>
    <w:uiPriority w:val="39"/>
    <w:pPr>
      <w:ind w:left="840" w:leftChars="400"/>
    </w:pPr>
  </w:style>
  <w:style w:type="paragraph" w:styleId="45">
    <w:name w:val="Plain Text"/>
    <w:basedOn w:val="1"/>
    <w:link w:val="120"/>
    <w:autoRedefine/>
    <w:semiHidden/>
    <w:unhideWhenUsed/>
    <w:qFormat/>
    <w:uiPriority w:val="99"/>
    <w:rPr>
      <w:rFonts w:hAnsi="Courier New" w:cs="Courier New" w:asciiTheme="minorEastAsia" w:eastAsiaTheme="minorEastAsia"/>
    </w:rPr>
  </w:style>
  <w:style w:type="paragraph" w:styleId="46">
    <w:name w:val="List Bullet 5"/>
    <w:basedOn w:val="1"/>
    <w:autoRedefine/>
    <w:semiHidden/>
    <w:unhideWhenUsed/>
    <w:qFormat/>
    <w:uiPriority w:val="99"/>
    <w:pPr>
      <w:numPr>
        <w:ilvl w:val="0"/>
        <w:numId w:val="8"/>
      </w:numPr>
      <w:contextualSpacing/>
    </w:pPr>
  </w:style>
  <w:style w:type="paragraph" w:styleId="47">
    <w:name w:val="List Number 4"/>
    <w:basedOn w:val="1"/>
    <w:autoRedefine/>
    <w:semiHidden/>
    <w:unhideWhenUsed/>
    <w:qFormat/>
    <w:uiPriority w:val="99"/>
    <w:pPr>
      <w:numPr>
        <w:ilvl w:val="0"/>
        <w:numId w:val="9"/>
      </w:numPr>
      <w:contextualSpacing/>
    </w:pPr>
  </w:style>
  <w:style w:type="paragraph" w:styleId="48">
    <w:name w:val="toc 8"/>
    <w:basedOn w:val="1"/>
    <w:next w:val="1"/>
    <w:autoRedefine/>
    <w:semiHidden/>
    <w:unhideWhenUsed/>
    <w:qFormat/>
    <w:uiPriority w:val="39"/>
    <w:pPr>
      <w:ind w:left="2940" w:leftChars="1400"/>
    </w:pPr>
  </w:style>
  <w:style w:type="paragraph" w:styleId="49">
    <w:name w:val="index 3"/>
    <w:basedOn w:val="1"/>
    <w:next w:val="1"/>
    <w:autoRedefine/>
    <w:semiHidden/>
    <w:unhideWhenUsed/>
    <w:qFormat/>
    <w:uiPriority w:val="99"/>
    <w:pPr>
      <w:ind w:left="400" w:leftChars="400"/>
    </w:pPr>
  </w:style>
  <w:style w:type="paragraph" w:styleId="50">
    <w:name w:val="Date"/>
    <w:basedOn w:val="1"/>
    <w:next w:val="1"/>
    <w:link w:val="129"/>
    <w:autoRedefine/>
    <w:semiHidden/>
    <w:unhideWhenUsed/>
    <w:qFormat/>
    <w:uiPriority w:val="99"/>
    <w:pPr>
      <w:ind w:left="100" w:leftChars="2500"/>
    </w:pPr>
  </w:style>
  <w:style w:type="paragraph" w:styleId="51">
    <w:name w:val="Body Text Indent 2"/>
    <w:basedOn w:val="1"/>
    <w:link w:val="143"/>
    <w:autoRedefine/>
    <w:semiHidden/>
    <w:unhideWhenUsed/>
    <w:qFormat/>
    <w:uiPriority w:val="99"/>
    <w:pPr>
      <w:spacing w:after="120" w:line="480" w:lineRule="auto"/>
      <w:ind w:left="420" w:leftChars="200"/>
    </w:pPr>
  </w:style>
  <w:style w:type="paragraph" w:styleId="52">
    <w:name w:val="endnote text"/>
    <w:basedOn w:val="1"/>
    <w:link w:val="131"/>
    <w:autoRedefine/>
    <w:semiHidden/>
    <w:unhideWhenUsed/>
    <w:qFormat/>
    <w:uiPriority w:val="99"/>
    <w:pPr>
      <w:snapToGrid w:val="0"/>
      <w:jc w:val="left"/>
    </w:pPr>
  </w:style>
  <w:style w:type="paragraph" w:styleId="53">
    <w:name w:val="List Continue 5"/>
    <w:basedOn w:val="1"/>
    <w:autoRedefine/>
    <w:semiHidden/>
    <w:unhideWhenUsed/>
    <w:qFormat/>
    <w:uiPriority w:val="99"/>
    <w:pPr>
      <w:spacing w:after="120"/>
      <w:ind w:left="2100" w:leftChars="1000"/>
      <w:contextualSpacing/>
    </w:pPr>
  </w:style>
  <w:style w:type="paragraph" w:styleId="54">
    <w:name w:val="Balloon Text"/>
    <w:basedOn w:val="1"/>
    <w:link w:val="96"/>
    <w:autoRedefine/>
    <w:unhideWhenUsed/>
    <w:qFormat/>
    <w:uiPriority w:val="99"/>
    <w:rPr>
      <w:sz w:val="18"/>
      <w:szCs w:val="18"/>
    </w:rPr>
  </w:style>
  <w:style w:type="paragraph" w:styleId="55">
    <w:name w:val="footer"/>
    <w:basedOn w:val="1"/>
    <w:link w:val="93"/>
    <w:autoRedefine/>
    <w:unhideWhenUsed/>
    <w:qFormat/>
    <w:uiPriority w:val="99"/>
    <w:pPr>
      <w:tabs>
        <w:tab w:val="center" w:pos="4153"/>
        <w:tab w:val="right" w:pos="8306"/>
      </w:tabs>
      <w:snapToGrid w:val="0"/>
      <w:jc w:val="left"/>
    </w:pPr>
    <w:rPr>
      <w:sz w:val="18"/>
      <w:szCs w:val="18"/>
    </w:rPr>
  </w:style>
  <w:style w:type="paragraph" w:styleId="56">
    <w:name w:val="envelope return"/>
    <w:basedOn w:val="1"/>
    <w:autoRedefine/>
    <w:semiHidden/>
    <w:unhideWhenUsed/>
    <w:qFormat/>
    <w:uiPriority w:val="99"/>
    <w:pPr>
      <w:snapToGrid w:val="0"/>
    </w:pPr>
    <w:rPr>
      <w:rFonts w:asciiTheme="majorHAnsi" w:hAnsiTheme="majorHAnsi" w:eastAsiaTheme="majorEastAsia" w:cstheme="majorBidi"/>
    </w:rPr>
  </w:style>
  <w:style w:type="paragraph" w:styleId="57">
    <w:name w:val="header"/>
    <w:basedOn w:val="1"/>
    <w:link w:val="9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8">
    <w:name w:val="Signature"/>
    <w:basedOn w:val="1"/>
    <w:link w:val="128"/>
    <w:autoRedefine/>
    <w:semiHidden/>
    <w:unhideWhenUsed/>
    <w:qFormat/>
    <w:uiPriority w:val="99"/>
    <w:pPr>
      <w:ind w:left="100" w:leftChars="2100"/>
    </w:pPr>
  </w:style>
  <w:style w:type="paragraph" w:styleId="59">
    <w:name w:val="toc 1"/>
    <w:basedOn w:val="1"/>
    <w:next w:val="1"/>
    <w:autoRedefine/>
    <w:semiHidden/>
    <w:unhideWhenUsed/>
    <w:qFormat/>
    <w:uiPriority w:val="39"/>
  </w:style>
  <w:style w:type="paragraph" w:styleId="60">
    <w:name w:val="List Continue 4"/>
    <w:basedOn w:val="1"/>
    <w:autoRedefine/>
    <w:semiHidden/>
    <w:unhideWhenUsed/>
    <w:qFormat/>
    <w:uiPriority w:val="99"/>
    <w:pPr>
      <w:spacing w:after="120"/>
      <w:ind w:left="1680" w:leftChars="800"/>
      <w:contextualSpacing/>
    </w:pPr>
  </w:style>
  <w:style w:type="paragraph" w:styleId="61">
    <w:name w:val="toc 4"/>
    <w:basedOn w:val="1"/>
    <w:next w:val="1"/>
    <w:autoRedefine/>
    <w:semiHidden/>
    <w:unhideWhenUsed/>
    <w:qFormat/>
    <w:uiPriority w:val="39"/>
    <w:pPr>
      <w:ind w:left="1260" w:leftChars="600"/>
    </w:pPr>
  </w:style>
  <w:style w:type="paragraph" w:styleId="62">
    <w:name w:val="index heading"/>
    <w:basedOn w:val="1"/>
    <w:next w:val="63"/>
    <w:autoRedefine/>
    <w:semiHidden/>
    <w:unhideWhenUsed/>
    <w:qFormat/>
    <w:uiPriority w:val="99"/>
    <w:rPr>
      <w:rFonts w:asciiTheme="majorHAnsi" w:hAnsiTheme="majorHAnsi" w:eastAsiaTheme="majorEastAsia" w:cstheme="majorBidi"/>
      <w:b/>
      <w:bCs/>
    </w:rPr>
  </w:style>
  <w:style w:type="paragraph" w:styleId="63">
    <w:name w:val="index 1"/>
    <w:basedOn w:val="1"/>
    <w:next w:val="1"/>
    <w:autoRedefine/>
    <w:semiHidden/>
    <w:unhideWhenUsed/>
    <w:qFormat/>
    <w:uiPriority w:val="99"/>
  </w:style>
  <w:style w:type="paragraph" w:styleId="64">
    <w:name w:val="Subtitle"/>
    <w:basedOn w:val="1"/>
    <w:next w:val="1"/>
    <w:link w:val="122"/>
    <w:autoRedefine/>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65">
    <w:name w:val="List Number 5"/>
    <w:basedOn w:val="1"/>
    <w:autoRedefine/>
    <w:semiHidden/>
    <w:unhideWhenUsed/>
    <w:qFormat/>
    <w:uiPriority w:val="99"/>
    <w:pPr>
      <w:numPr>
        <w:ilvl w:val="0"/>
        <w:numId w:val="10"/>
      </w:numPr>
      <w:contextualSpacing/>
    </w:pPr>
  </w:style>
  <w:style w:type="paragraph" w:styleId="66">
    <w:name w:val="List"/>
    <w:basedOn w:val="1"/>
    <w:autoRedefine/>
    <w:semiHidden/>
    <w:unhideWhenUsed/>
    <w:qFormat/>
    <w:uiPriority w:val="99"/>
    <w:pPr>
      <w:ind w:left="200" w:hanging="200" w:hangingChars="200"/>
      <w:contextualSpacing/>
    </w:pPr>
  </w:style>
  <w:style w:type="paragraph" w:styleId="67">
    <w:name w:val="footnote text"/>
    <w:basedOn w:val="1"/>
    <w:link w:val="124"/>
    <w:autoRedefine/>
    <w:semiHidden/>
    <w:unhideWhenUsed/>
    <w:qFormat/>
    <w:uiPriority w:val="99"/>
    <w:pPr>
      <w:snapToGrid w:val="0"/>
      <w:jc w:val="left"/>
    </w:pPr>
    <w:rPr>
      <w:sz w:val="18"/>
      <w:szCs w:val="18"/>
    </w:rPr>
  </w:style>
  <w:style w:type="paragraph" w:styleId="68">
    <w:name w:val="toc 6"/>
    <w:basedOn w:val="1"/>
    <w:next w:val="1"/>
    <w:autoRedefine/>
    <w:semiHidden/>
    <w:unhideWhenUsed/>
    <w:qFormat/>
    <w:uiPriority w:val="39"/>
    <w:pPr>
      <w:ind w:left="2100" w:leftChars="1000"/>
    </w:pPr>
  </w:style>
  <w:style w:type="paragraph" w:styleId="69">
    <w:name w:val="List 5"/>
    <w:basedOn w:val="1"/>
    <w:autoRedefine/>
    <w:semiHidden/>
    <w:unhideWhenUsed/>
    <w:qFormat/>
    <w:uiPriority w:val="99"/>
    <w:pPr>
      <w:ind w:left="100" w:leftChars="800" w:hanging="200" w:hangingChars="200"/>
      <w:contextualSpacing/>
    </w:pPr>
  </w:style>
  <w:style w:type="paragraph" w:styleId="70">
    <w:name w:val="Body Text Indent 3"/>
    <w:basedOn w:val="1"/>
    <w:link w:val="144"/>
    <w:autoRedefine/>
    <w:semiHidden/>
    <w:unhideWhenUsed/>
    <w:qFormat/>
    <w:uiPriority w:val="99"/>
    <w:pPr>
      <w:spacing w:after="120"/>
      <w:ind w:left="420" w:leftChars="200"/>
    </w:pPr>
    <w:rPr>
      <w:sz w:val="16"/>
      <w:szCs w:val="16"/>
    </w:rPr>
  </w:style>
  <w:style w:type="paragraph" w:styleId="71">
    <w:name w:val="index 7"/>
    <w:basedOn w:val="1"/>
    <w:next w:val="1"/>
    <w:autoRedefine/>
    <w:semiHidden/>
    <w:unhideWhenUsed/>
    <w:qFormat/>
    <w:uiPriority w:val="99"/>
    <w:pPr>
      <w:ind w:left="1200" w:leftChars="1200"/>
    </w:pPr>
  </w:style>
  <w:style w:type="paragraph" w:styleId="72">
    <w:name w:val="index 9"/>
    <w:basedOn w:val="1"/>
    <w:next w:val="1"/>
    <w:autoRedefine/>
    <w:semiHidden/>
    <w:unhideWhenUsed/>
    <w:qFormat/>
    <w:uiPriority w:val="99"/>
    <w:pPr>
      <w:ind w:left="1600" w:leftChars="1600"/>
    </w:pPr>
  </w:style>
  <w:style w:type="paragraph" w:styleId="73">
    <w:name w:val="table of figures"/>
    <w:basedOn w:val="1"/>
    <w:next w:val="1"/>
    <w:autoRedefine/>
    <w:semiHidden/>
    <w:unhideWhenUsed/>
    <w:qFormat/>
    <w:uiPriority w:val="99"/>
    <w:pPr>
      <w:ind w:left="200" w:leftChars="200" w:hanging="200" w:hangingChars="200"/>
    </w:pPr>
  </w:style>
  <w:style w:type="paragraph" w:styleId="74">
    <w:name w:val="toc 2"/>
    <w:basedOn w:val="1"/>
    <w:next w:val="1"/>
    <w:autoRedefine/>
    <w:semiHidden/>
    <w:unhideWhenUsed/>
    <w:qFormat/>
    <w:uiPriority w:val="39"/>
    <w:pPr>
      <w:ind w:left="420" w:leftChars="200"/>
    </w:pPr>
  </w:style>
  <w:style w:type="paragraph" w:styleId="75">
    <w:name w:val="toc 9"/>
    <w:basedOn w:val="1"/>
    <w:next w:val="1"/>
    <w:autoRedefine/>
    <w:semiHidden/>
    <w:unhideWhenUsed/>
    <w:qFormat/>
    <w:uiPriority w:val="39"/>
    <w:pPr>
      <w:ind w:left="3360" w:leftChars="1600"/>
    </w:pPr>
  </w:style>
  <w:style w:type="paragraph" w:styleId="76">
    <w:name w:val="Body Text 2"/>
    <w:basedOn w:val="1"/>
    <w:link w:val="137"/>
    <w:autoRedefine/>
    <w:semiHidden/>
    <w:unhideWhenUsed/>
    <w:qFormat/>
    <w:uiPriority w:val="99"/>
    <w:pPr>
      <w:spacing w:after="120" w:line="480" w:lineRule="auto"/>
    </w:pPr>
  </w:style>
  <w:style w:type="paragraph" w:styleId="77">
    <w:name w:val="List 4"/>
    <w:basedOn w:val="1"/>
    <w:autoRedefine/>
    <w:semiHidden/>
    <w:unhideWhenUsed/>
    <w:qFormat/>
    <w:uiPriority w:val="99"/>
    <w:pPr>
      <w:ind w:left="100" w:leftChars="600" w:hanging="200" w:hangingChars="200"/>
      <w:contextualSpacing/>
    </w:pPr>
  </w:style>
  <w:style w:type="paragraph" w:styleId="78">
    <w:name w:val="List Continue 2"/>
    <w:basedOn w:val="1"/>
    <w:autoRedefine/>
    <w:semiHidden/>
    <w:unhideWhenUsed/>
    <w:qFormat/>
    <w:uiPriority w:val="99"/>
    <w:pPr>
      <w:spacing w:after="120"/>
      <w:ind w:left="840" w:leftChars="400"/>
      <w:contextualSpacing/>
    </w:pPr>
  </w:style>
  <w:style w:type="paragraph" w:styleId="79">
    <w:name w:val="Message Header"/>
    <w:basedOn w:val="1"/>
    <w:link w:val="134"/>
    <w:autoRedefine/>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7"/>
    <w:autoRedefine/>
    <w:semiHidden/>
    <w:unhideWhenUsed/>
    <w:qFormat/>
    <w:uiPriority w:val="99"/>
    <w:rPr>
      <w:rFonts w:ascii="Courier New" w:hAnsi="Courier New" w:cs="Courier New"/>
      <w:sz w:val="20"/>
      <w:szCs w:val="20"/>
    </w:rPr>
  </w:style>
  <w:style w:type="paragraph" w:styleId="81">
    <w:name w:val="Normal (Web)"/>
    <w:basedOn w:val="1"/>
    <w:autoRedefine/>
    <w:semiHidden/>
    <w:unhideWhenUsed/>
    <w:qFormat/>
    <w:uiPriority w:val="99"/>
    <w:pPr>
      <w:spacing w:beforeAutospacing="1" w:afterAutospacing="1"/>
      <w:jc w:val="left"/>
    </w:pPr>
    <w:rPr>
      <w:kern w:val="0"/>
      <w:sz w:val="24"/>
    </w:rPr>
  </w:style>
  <w:style w:type="paragraph" w:styleId="82">
    <w:name w:val="List Continue 3"/>
    <w:basedOn w:val="1"/>
    <w:autoRedefine/>
    <w:semiHidden/>
    <w:unhideWhenUsed/>
    <w:qFormat/>
    <w:uiPriority w:val="99"/>
    <w:pPr>
      <w:spacing w:after="120"/>
      <w:ind w:left="1260" w:leftChars="600"/>
      <w:contextualSpacing/>
    </w:pPr>
  </w:style>
  <w:style w:type="paragraph" w:styleId="83">
    <w:name w:val="index 2"/>
    <w:basedOn w:val="1"/>
    <w:next w:val="1"/>
    <w:autoRedefine/>
    <w:semiHidden/>
    <w:unhideWhenUsed/>
    <w:qFormat/>
    <w:uiPriority w:val="99"/>
    <w:pPr>
      <w:ind w:left="200" w:leftChars="200"/>
    </w:pPr>
  </w:style>
  <w:style w:type="paragraph" w:styleId="84">
    <w:name w:val="Title"/>
    <w:basedOn w:val="1"/>
    <w:next w:val="1"/>
    <w:link w:val="110"/>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00"/>
    <w:autoRedefine/>
    <w:semiHidden/>
    <w:unhideWhenUsed/>
    <w:qFormat/>
    <w:uiPriority w:val="99"/>
    <w:rPr>
      <w:b/>
      <w:bCs/>
    </w:rPr>
  </w:style>
  <w:style w:type="paragraph" w:styleId="86">
    <w:name w:val="Body Text First Indent"/>
    <w:basedOn w:val="34"/>
    <w:link w:val="140"/>
    <w:autoRedefine/>
    <w:semiHidden/>
    <w:unhideWhenUsed/>
    <w:qFormat/>
    <w:uiPriority w:val="99"/>
    <w:pPr>
      <w:spacing w:after="120"/>
      <w:ind w:firstLine="420" w:firstLineChars="100"/>
    </w:pPr>
    <w:rPr>
      <w:rFonts w:ascii="Calibri" w:hAnsi="Calibri" w:cs="Times New Roman"/>
      <w:sz w:val="21"/>
      <w:szCs w:val="22"/>
      <w:lang w:eastAsia="zh-CN"/>
    </w:rPr>
  </w:style>
  <w:style w:type="paragraph" w:styleId="87">
    <w:name w:val="Body Text First Indent 2"/>
    <w:basedOn w:val="35"/>
    <w:link w:val="142"/>
    <w:autoRedefine/>
    <w:semiHidden/>
    <w:unhideWhenUsed/>
    <w:qFormat/>
    <w:uiPriority w:val="99"/>
    <w:pPr>
      <w:ind w:firstLine="420" w:firstLineChars="200"/>
    </w:pPr>
  </w:style>
  <w:style w:type="table" w:styleId="89">
    <w:name w:val="Table Grid"/>
    <w:basedOn w:val="8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annotation reference"/>
    <w:basedOn w:val="90"/>
    <w:autoRedefine/>
    <w:semiHidden/>
    <w:unhideWhenUsed/>
    <w:qFormat/>
    <w:uiPriority w:val="0"/>
    <w:rPr>
      <w:sz w:val="21"/>
      <w:szCs w:val="21"/>
    </w:rPr>
  </w:style>
  <w:style w:type="paragraph" w:customStyle="1" w:styleId="9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93">
    <w:name w:val="页脚 字符"/>
    <w:basedOn w:val="90"/>
    <w:link w:val="55"/>
    <w:autoRedefine/>
    <w:qFormat/>
    <w:uiPriority w:val="99"/>
    <w:rPr>
      <w:rFonts w:ascii="Calibri" w:hAnsi="Calibri" w:eastAsia="宋体" w:cs="Times New Roman"/>
      <w:sz w:val="18"/>
      <w:szCs w:val="18"/>
    </w:rPr>
  </w:style>
  <w:style w:type="paragraph" w:customStyle="1" w:styleId="94">
    <w:name w:val="列出段落1"/>
    <w:basedOn w:val="1"/>
    <w:autoRedefine/>
    <w:qFormat/>
    <w:uiPriority w:val="34"/>
    <w:pPr>
      <w:numPr>
        <w:ilvl w:val="0"/>
        <w:numId w:val="11"/>
      </w:numPr>
      <w:adjustRightInd w:val="0"/>
      <w:snapToGrid w:val="0"/>
      <w:spacing w:line="560" w:lineRule="exact"/>
    </w:pPr>
  </w:style>
  <w:style w:type="character" w:customStyle="1" w:styleId="95">
    <w:name w:val="页眉 字符"/>
    <w:basedOn w:val="90"/>
    <w:link w:val="57"/>
    <w:autoRedefine/>
    <w:semiHidden/>
    <w:qFormat/>
    <w:uiPriority w:val="99"/>
    <w:rPr>
      <w:rFonts w:ascii="Calibri" w:hAnsi="Calibri" w:eastAsia="宋体" w:cs="Times New Roman"/>
      <w:sz w:val="18"/>
      <w:szCs w:val="18"/>
    </w:rPr>
  </w:style>
  <w:style w:type="character" w:customStyle="1" w:styleId="96">
    <w:name w:val="批注框文本 字符"/>
    <w:basedOn w:val="90"/>
    <w:link w:val="54"/>
    <w:autoRedefine/>
    <w:semiHidden/>
    <w:qFormat/>
    <w:uiPriority w:val="99"/>
    <w:rPr>
      <w:rFonts w:ascii="Calibri" w:hAnsi="Calibri" w:eastAsia="宋体" w:cs="Times New Roman"/>
      <w:sz w:val="18"/>
      <w:szCs w:val="18"/>
    </w:rPr>
  </w:style>
  <w:style w:type="paragraph" w:customStyle="1" w:styleId="97">
    <w:name w:val="修订1"/>
    <w:autoRedefine/>
    <w:hidden/>
    <w:semiHidden/>
    <w:qFormat/>
    <w:uiPriority w:val="99"/>
    <w:rPr>
      <w:rFonts w:ascii="Calibri" w:hAnsi="Calibri" w:eastAsia="宋体" w:cs="Times New Roman"/>
      <w:kern w:val="2"/>
      <w:sz w:val="21"/>
      <w:szCs w:val="22"/>
      <w:lang w:val="en-US" w:eastAsia="zh-CN" w:bidi="ar-SA"/>
    </w:rPr>
  </w:style>
  <w:style w:type="paragraph" w:styleId="98">
    <w:name w:val="List Paragraph"/>
    <w:basedOn w:val="1"/>
    <w:autoRedefine/>
    <w:qFormat/>
    <w:uiPriority w:val="99"/>
    <w:pPr>
      <w:ind w:firstLine="420" w:firstLineChars="200"/>
    </w:pPr>
  </w:style>
  <w:style w:type="character" w:customStyle="1" w:styleId="99">
    <w:name w:val="批注文字 字符"/>
    <w:basedOn w:val="90"/>
    <w:link w:val="28"/>
    <w:autoRedefine/>
    <w:qFormat/>
    <w:uiPriority w:val="0"/>
    <w:rPr>
      <w:rFonts w:ascii="Calibri" w:hAnsi="Calibri"/>
      <w:kern w:val="2"/>
      <w:sz w:val="21"/>
      <w:szCs w:val="22"/>
    </w:rPr>
  </w:style>
  <w:style w:type="character" w:customStyle="1" w:styleId="100">
    <w:name w:val="批注主题 字符"/>
    <w:basedOn w:val="99"/>
    <w:link w:val="85"/>
    <w:autoRedefine/>
    <w:qFormat/>
    <w:uiPriority w:val="0"/>
    <w:rPr>
      <w:rFonts w:ascii="Calibri" w:hAnsi="Calibri" w:eastAsia="宋体" w:cs="Times New Roman"/>
      <w:kern w:val="2"/>
      <w:sz w:val="21"/>
      <w:szCs w:val="22"/>
    </w:rPr>
  </w:style>
  <w:style w:type="paragraph" w:customStyle="1" w:styleId="101">
    <w:name w:val="修订2"/>
    <w:autoRedefine/>
    <w:hidden/>
    <w:semiHidden/>
    <w:qFormat/>
    <w:uiPriority w:val="99"/>
    <w:rPr>
      <w:rFonts w:ascii="Calibri" w:hAnsi="Calibri" w:eastAsia="宋体" w:cs="Times New Roman"/>
      <w:kern w:val="2"/>
      <w:sz w:val="21"/>
      <w:szCs w:val="22"/>
      <w:lang w:val="en-US" w:eastAsia="zh-CN" w:bidi="ar-SA"/>
    </w:rPr>
  </w:style>
  <w:style w:type="paragraph" w:customStyle="1" w:styleId="102">
    <w:name w:val="修订3"/>
    <w:autoRedefine/>
    <w:hidden/>
    <w:unhideWhenUsed/>
    <w:qFormat/>
    <w:uiPriority w:val="99"/>
    <w:rPr>
      <w:rFonts w:ascii="Calibri" w:hAnsi="Calibri" w:eastAsia="宋体" w:cs="Times New Roman"/>
      <w:kern w:val="2"/>
      <w:sz w:val="21"/>
      <w:szCs w:val="22"/>
      <w:lang w:val="en-US" w:eastAsia="zh-CN" w:bidi="ar-SA"/>
    </w:rPr>
  </w:style>
  <w:style w:type="paragraph" w:customStyle="1" w:styleId="103">
    <w:name w:val="修订4"/>
    <w:autoRedefine/>
    <w:hidden/>
    <w:unhideWhenUsed/>
    <w:qFormat/>
    <w:uiPriority w:val="99"/>
    <w:rPr>
      <w:rFonts w:ascii="Calibri" w:hAnsi="Calibri" w:eastAsia="宋体" w:cs="Times New Roman"/>
      <w:kern w:val="2"/>
      <w:sz w:val="21"/>
      <w:szCs w:val="22"/>
      <w:lang w:val="en-US" w:eastAsia="zh-CN" w:bidi="ar-SA"/>
    </w:rPr>
  </w:style>
  <w:style w:type="table" w:customStyle="1" w:styleId="104">
    <w:name w:val="Table Normal"/>
    <w:autoRedefine/>
    <w:semiHidden/>
    <w:unhideWhenUsed/>
    <w:qFormat/>
    <w:uiPriority w:val="0"/>
    <w:tblPr>
      <w:tblCellMar>
        <w:top w:w="0" w:type="dxa"/>
        <w:left w:w="0" w:type="dxa"/>
        <w:bottom w:w="0" w:type="dxa"/>
        <w:right w:w="0" w:type="dxa"/>
      </w:tblCellMar>
    </w:tblPr>
  </w:style>
  <w:style w:type="paragraph" w:customStyle="1" w:styleId="105">
    <w:name w:val="Table Text"/>
    <w:basedOn w:val="1"/>
    <w:autoRedefine/>
    <w:semiHidden/>
    <w:qFormat/>
    <w:uiPriority w:val="0"/>
    <w:pPr>
      <w:spacing w:before="64" w:line="284" w:lineRule="auto"/>
      <w:ind w:left="18" w:right="30" w:hanging="7"/>
      <w:jc w:val="left"/>
    </w:pPr>
    <w:rPr>
      <w:rFonts w:ascii="Times New Roman" w:hAnsi="Times New Roman" w:eastAsia="Times New Roman"/>
      <w:sz w:val="24"/>
      <w:szCs w:val="24"/>
      <w:lang w:eastAsia="en-US"/>
    </w:rPr>
  </w:style>
  <w:style w:type="character" w:customStyle="1" w:styleId="106">
    <w:name w:val="HTML 地址 字符"/>
    <w:basedOn w:val="90"/>
    <w:link w:val="41"/>
    <w:autoRedefine/>
    <w:semiHidden/>
    <w:qFormat/>
    <w:uiPriority w:val="99"/>
    <w:rPr>
      <w:rFonts w:ascii="Calibri" w:hAnsi="Calibri"/>
      <w:i/>
      <w:iCs/>
      <w:kern w:val="2"/>
      <w:sz w:val="21"/>
      <w:szCs w:val="22"/>
    </w:rPr>
  </w:style>
  <w:style w:type="character" w:customStyle="1" w:styleId="107">
    <w:name w:val="HTML 预设格式 字符"/>
    <w:basedOn w:val="90"/>
    <w:link w:val="80"/>
    <w:autoRedefine/>
    <w:semiHidden/>
    <w:qFormat/>
    <w:uiPriority w:val="99"/>
    <w:rPr>
      <w:rFonts w:ascii="Courier New" w:hAnsi="Courier New" w:cs="Courier New"/>
      <w:kern w:val="2"/>
    </w:rPr>
  </w:style>
  <w:style w:type="character" w:customStyle="1" w:styleId="108">
    <w:name w:val="标题 1 字符"/>
    <w:basedOn w:val="90"/>
    <w:link w:val="3"/>
    <w:autoRedefine/>
    <w:qFormat/>
    <w:uiPriority w:val="9"/>
    <w:rPr>
      <w:rFonts w:ascii="Calibri" w:hAnsi="Calibri"/>
      <w:b/>
      <w:bCs/>
      <w:kern w:val="44"/>
      <w:sz w:val="44"/>
      <w:szCs w:val="44"/>
    </w:rPr>
  </w:style>
  <w:style w:type="paragraph" w:customStyle="1" w:styleId="109">
    <w:name w:val="TOC 标题1"/>
    <w:basedOn w:val="3"/>
    <w:next w:val="1"/>
    <w:autoRedefine/>
    <w:semiHidden/>
    <w:unhideWhenUsed/>
    <w:qFormat/>
    <w:uiPriority w:val="39"/>
    <w:pPr>
      <w:outlineLvl w:val="9"/>
    </w:pPr>
  </w:style>
  <w:style w:type="character" w:customStyle="1" w:styleId="110">
    <w:name w:val="标题 字符"/>
    <w:basedOn w:val="90"/>
    <w:link w:val="84"/>
    <w:autoRedefine/>
    <w:qFormat/>
    <w:uiPriority w:val="10"/>
    <w:rPr>
      <w:rFonts w:asciiTheme="majorHAnsi" w:hAnsiTheme="majorHAnsi" w:eastAsiaTheme="majorEastAsia" w:cstheme="majorBidi"/>
      <w:b/>
      <w:bCs/>
      <w:kern w:val="2"/>
      <w:sz w:val="32"/>
      <w:szCs w:val="32"/>
    </w:rPr>
  </w:style>
  <w:style w:type="character" w:customStyle="1" w:styleId="111">
    <w:name w:val="标题 2 字符"/>
    <w:basedOn w:val="90"/>
    <w:link w:val="4"/>
    <w:autoRedefine/>
    <w:semiHidden/>
    <w:qFormat/>
    <w:uiPriority w:val="9"/>
    <w:rPr>
      <w:rFonts w:asciiTheme="majorHAnsi" w:hAnsiTheme="majorHAnsi" w:eastAsiaTheme="majorEastAsia" w:cstheme="majorBidi"/>
      <w:b/>
      <w:bCs/>
      <w:kern w:val="2"/>
      <w:sz w:val="32"/>
      <w:szCs w:val="32"/>
    </w:rPr>
  </w:style>
  <w:style w:type="character" w:customStyle="1" w:styleId="112">
    <w:name w:val="标题 3 字符"/>
    <w:basedOn w:val="90"/>
    <w:link w:val="5"/>
    <w:autoRedefine/>
    <w:semiHidden/>
    <w:qFormat/>
    <w:uiPriority w:val="9"/>
    <w:rPr>
      <w:rFonts w:ascii="Calibri" w:hAnsi="Calibri"/>
      <w:b/>
      <w:bCs/>
      <w:kern w:val="2"/>
      <w:sz w:val="32"/>
      <w:szCs w:val="32"/>
    </w:rPr>
  </w:style>
  <w:style w:type="character" w:customStyle="1" w:styleId="113">
    <w:name w:val="标题 4 字符"/>
    <w:basedOn w:val="90"/>
    <w:link w:val="6"/>
    <w:autoRedefine/>
    <w:semiHidden/>
    <w:qFormat/>
    <w:uiPriority w:val="9"/>
    <w:rPr>
      <w:rFonts w:asciiTheme="majorHAnsi" w:hAnsiTheme="majorHAnsi" w:eastAsiaTheme="majorEastAsia" w:cstheme="majorBidi"/>
      <w:b/>
      <w:bCs/>
      <w:kern w:val="2"/>
      <w:sz w:val="28"/>
      <w:szCs w:val="28"/>
    </w:rPr>
  </w:style>
  <w:style w:type="character" w:customStyle="1" w:styleId="114">
    <w:name w:val="标题 5 字符"/>
    <w:basedOn w:val="90"/>
    <w:link w:val="7"/>
    <w:autoRedefine/>
    <w:semiHidden/>
    <w:qFormat/>
    <w:uiPriority w:val="9"/>
    <w:rPr>
      <w:rFonts w:ascii="Calibri" w:hAnsi="Calibri"/>
      <w:b/>
      <w:bCs/>
      <w:kern w:val="2"/>
      <w:sz w:val="28"/>
      <w:szCs w:val="28"/>
    </w:rPr>
  </w:style>
  <w:style w:type="character" w:customStyle="1" w:styleId="115">
    <w:name w:val="标题 6 字符"/>
    <w:basedOn w:val="90"/>
    <w:link w:val="8"/>
    <w:autoRedefine/>
    <w:semiHidden/>
    <w:qFormat/>
    <w:uiPriority w:val="9"/>
    <w:rPr>
      <w:rFonts w:asciiTheme="majorHAnsi" w:hAnsiTheme="majorHAnsi" w:eastAsiaTheme="majorEastAsia" w:cstheme="majorBidi"/>
      <w:b/>
      <w:bCs/>
      <w:kern w:val="2"/>
      <w:sz w:val="24"/>
      <w:szCs w:val="24"/>
    </w:rPr>
  </w:style>
  <w:style w:type="character" w:customStyle="1" w:styleId="116">
    <w:name w:val="标题 7 字符"/>
    <w:basedOn w:val="90"/>
    <w:link w:val="9"/>
    <w:autoRedefine/>
    <w:semiHidden/>
    <w:qFormat/>
    <w:uiPriority w:val="9"/>
    <w:rPr>
      <w:rFonts w:ascii="Calibri" w:hAnsi="Calibri"/>
      <w:b/>
      <w:bCs/>
      <w:kern w:val="2"/>
      <w:sz w:val="24"/>
      <w:szCs w:val="24"/>
    </w:rPr>
  </w:style>
  <w:style w:type="character" w:customStyle="1" w:styleId="117">
    <w:name w:val="标题 8 字符"/>
    <w:basedOn w:val="90"/>
    <w:link w:val="10"/>
    <w:autoRedefine/>
    <w:semiHidden/>
    <w:qFormat/>
    <w:uiPriority w:val="9"/>
    <w:rPr>
      <w:rFonts w:asciiTheme="majorHAnsi" w:hAnsiTheme="majorHAnsi" w:eastAsiaTheme="majorEastAsia" w:cstheme="majorBidi"/>
      <w:kern w:val="2"/>
      <w:sz w:val="24"/>
      <w:szCs w:val="24"/>
    </w:rPr>
  </w:style>
  <w:style w:type="character" w:customStyle="1" w:styleId="118">
    <w:name w:val="标题 9 字符"/>
    <w:basedOn w:val="90"/>
    <w:link w:val="11"/>
    <w:autoRedefine/>
    <w:semiHidden/>
    <w:qFormat/>
    <w:uiPriority w:val="9"/>
    <w:rPr>
      <w:rFonts w:asciiTheme="majorHAnsi" w:hAnsiTheme="majorHAnsi" w:eastAsiaTheme="majorEastAsia" w:cstheme="majorBidi"/>
      <w:kern w:val="2"/>
      <w:sz w:val="21"/>
      <w:szCs w:val="21"/>
    </w:rPr>
  </w:style>
  <w:style w:type="character" w:customStyle="1" w:styleId="119">
    <w:name w:val="称呼 字符"/>
    <w:basedOn w:val="90"/>
    <w:link w:val="30"/>
    <w:autoRedefine/>
    <w:semiHidden/>
    <w:qFormat/>
    <w:uiPriority w:val="99"/>
    <w:rPr>
      <w:rFonts w:ascii="Calibri" w:hAnsi="Calibri"/>
      <w:kern w:val="2"/>
      <w:sz w:val="21"/>
      <w:szCs w:val="22"/>
    </w:rPr>
  </w:style>
  <w:style w:type="character" w:customStyle="1" w:styleId="120">
    <w:name w:val="纯文本 字符"/>
    <w:basedOn w:val="90"/>
    <w:link w:val="45"/>
    <w:autoRedefine/>
    <w:semiHidden/>
    <w:qFormat/>
    <w:uiPriority w:val="99"/>
    <w:rPr>
      <w:rFonts w:hAnsi="Courier New" w:cs="Courier New" w:asciiTheme="minorEastAsia" w:eastAsiaTheme="minorEastAsia"/>
      <w:kern w:val="2"/>
      <w:sz w:val="21"/>
      <w:szCs w:val="22"/>
    </w:rPr>
  </w:style>
  <w:style w:type="character" w:customStyle="1" w:styleId="121">
    <w:name w:val="电子邮件签名 字符"/>
    <w:basedOn w:val="90"/>
    <w:link w:val="19"/>
    <w:autoRedefine/>
    <w:semiHidden/>
    <w:qFormat/>
    <w:uiPriority w:val="99"/>
    <w:rPr>
      <w:rFonts w:ascii="Calibri" w:hAnsi="Calibri"/>
      <w:kern w:val="2"/>
      <w:sz w:val="21"/>
      <w:szCs w:val="22"/>
    </w:rPr>
  </w:style>
  <w:style w:type="character" w:customStyle="1" w:styleId="122">
    <w:name w:val="副标题 字符"/>
    <w:basedOn w:val="90"/>
    <w:link w:val="64"/>
    <w:autoRedefine/>
    <w:qFormat/>
    <w:uiPriority w:val="11"/>
    <w:rPr>
      <w:rFonts w:asciiTheme="minorHAnsi" w:hAnsiTheme="minorHAnsi" w:eastAsiaTheme="minorEastAsia" w:cstheme="minorBidi"/>
      <w:b/>
      <w:bCs/>
      <w:kern w:val="28"/>
      <w:sz w:val="32"/>
      <w:szCs w:val="32"/>
    </w:rPr>
  </w:style>
  <w:style w:type="character" w:customStyle="1" w:styleId="123">
    <w:name w:val="宏文本 字符"/>
    <w:basedOn w:val="90"/>
    <w:link w:val="2"/>
    <w:autoRedefine/>
    <w:semiHidden/>
    <w:qFormat/>
    <w:uiPriority w:val="99"/>
    <w:rPr>
      <w:rFonts w:ascii="Courier New" w:hAnsi="Courier New" w:cs="Courier New"/>
      <w:kern w:val="2"/>
      <w:sz w:val="24"/>
      <w:szCs w:val="24"/>
    </w:rPr>
  </w:style>
  <w:style w:type="character" w:customStyle="1" w:styleId="124">
    <w:name w:val="脚注文本 字符"/>
    <w:basedOn w:val="90"/>
    <w:link w:val="67"/>
    <w:autoRedefine/>
    <w:semiHidden/>
    <w:qFormat/>
    <w:uiPriority w:val="99"/>
    <w:rPr>
      <w:rFonts w:ascii="Calibri" w:hAnsi="Calibri"/>
      <w:kern w:val="2"/>
      <w:sz w:val="18"/>
      <w:szCs w:val="18"/>
    </w:rPr>
  </w:style>
  <w:style w:type="character" w:customStyle="1" w:styleId="125">
    <w:name w:val="结束语 字符"/>
    <w:basedOn w:val="90"/>
    <w:link w:val="32"/>
    <w:autoRedefine/>
    <w:semiHidden/>
    <w:qFormat/>
    <w:uiPriority w:val="99"/>
    <w:rPr>
      <w:rFonts w:ascii="Calibri" w:hAnsi="Calibri"/>
      <w:kern w:val="2"/>
      <w:sz w:val="21"/>
      <w:szCs w:val="22"/>
    </w:rPr>
  </w:style>
  <w:style w:type="paragraph" w:styleId="126">
    <w:name w:val="Intense Quote"/>
    <w:basedOn w:val="1"/>
    <w:next w:val="1"/>
    <w:link w:val="127"/>
    <w:autoRedefine/>
    <w:semiHidden/>
    <w:unhideWhenUsed/>
    <w:qFormat/>
    <w:uiPriority w:val="99"/>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127">
    <w:name w:val="明显引用 字符"/>
    <w:basedOn w:val="90"/>
    <w:link w:val="126"/>
    <w:autoRedefine/>
    <w:semiHidden/>
    <w:qFormat/>
    <w:uiPriority w:val="99"/>
    <w:rPr>
      <w:rFonts w:ascii="Calibri" w:hAnsi="Calibri"/>
      <w:i/>
      <w:iCs/>
      <w:color w:val="4F81BD" w:themeColor="accent1"/>
      <w:kern w:val="2"/>
      <w:sz w:val="21"/>
      <w:szCs w:val="22"/>
      <w14:textFill>
        <w14:solidFill>
          <w14:schemeClr w14:val="accent1"/>
        </w14:solidFill>
      </w14:textFill>
    </w:rPr>
  </w:style>
  <w:style w:type="character" w:customStyle="1" w:styleId="128">
    <w:name w:val="签名 字符"/>
    <w:basedOn w:val="90"/>
    <w:link w:val="58"/>
    <w:autoRedefine/>
    <w:semiHidden/>
    <w:qFormat/>
    <w:uiPriority w:val="99"/>
    <w:rPr>
      <w:rFonts w:ascii="Calibri" w:hAnsi="Calibri"/>
      <w:kern w:val="2"/>
      <w:sz w:val="21"/>
      <w:szCs w:val="22"/>
    </w:rPr>
  </w:style>
  <w:style w:type="character" w:customStyle="1" w:styleId="129">
    <w:name w:val="日期 字符"/>
    <w:basedOn w:val="90"/>
    <w:link w:val="50"/>
    <w:autoRedefine/>
    <w:semiHidden/>
    <w:qFormat/>
    <w:uiPriority w:val="99"/>
    <w:rPr>
      <w:rFonts w:ascii="Calibri" w:hAnsi="Calibri"/>
      <w:kern w:val="2"/>
      <w:sz w:val="21"/>
      <w:szCs w:val="22"/>
    </w:rPr>
  </w:style>
  <w:style w:type="paragraph" w:customStyle="1" w:styleId="130">
    <w:name w:val="书目1"/>
    <w:basedOn w:val="1"/>
    <w:next w:val="1"/>
    <w:autoRedefine/>
    <w:semiHidden/>
    <w:unhideWhenUsed/>
    <w:qFormat/>
    <w:uiPriority w:val="37"/>
  </w:style>
  <w:style w:type="character" w:customStyle="1" w:styleId="131">
    <w:name w:val="尾注文本 字符"/>
    <w:basedOn w:val="90"/>
    <w:link w:val="52"/>
    <w:autoRedefine/>
    <w:semiHidden/>
    <w:qFormat/>
    <w:uiPriority w:val="99"/>
    <w:rPr>
      <w:rFonts w:ascii="Calibri" w:hAnsi="Calibri"/>
      <w:kern w:val="2"/>
      <w:sz w:val="21"/>
      <w:szCs w:val="22"/>
    </w:rPr>
  </w:style>
  <w:style w:type="character" w:customStyle="1" w:styleId="132">
    <w:name w:val="文档结构图 字符"/>
    <w:basedOn w:val="90"/>
    <w:link w:val="26"/>
    <w:autoRedefine/>
    <w:semiHidden/>
    <w:qFormat/>
    <w:uiPriority w:val="99"/>
    <w:rPr>
      <w:rFonts w:ascii="Microsoft YaHei UI" w:hAnsi="Calibri" w:eastAsia="Microsoft YaHei UI"/>
      <w:kern w:val="2"/>
      <w:sz w:val="18"/>
      <w:szCs w:val="18"/>
    </w:rPr>
  </w:style>
  <w:style w:type="paragraph" w:styleId="133">
    <w:name w:val="No Spacing"/>
    <w:autoRedefine/>
    <w:semiHidden/>
    <w:unhideWhenUsed/>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34">
    <w:name w:val="信息标题 字符"/>
    <w:basedOn w:val="90"/>
    <w:link w:val="79"/>
    <w:autoRedefine/>
    <w:semiHidden/>
    <w:qFormat/>
    <w:uiPriority w:val="99"/>
    <w:rPr>
      <w:rFonts w:asciiTheme="majorHAnsi" w:hAnsiTheme="majorHAnsi" w:eastAsiaTheme="majorEastAsia" w:cstheme="majorBidi"/>
      <w:kern w:val="2"/>
      <w:sz w:val="24"/>
      <w:szCs w:val="24"/>
      <w:shd w:val="pct20" w:color="auto" w:fill="auto"/>
    </w:rPr>
  </w:style>
  <w:style w:type="paragraph" w:styleId="135">
    <w:name w:val="Quote"/>
    <w:basedOn w:val="1"/>
    <w:next w:val="1"/>
    <w:link w:val="136"/>
    <w:autoRedefine/>
    <w:semiHidden/>
    <w:unhideWhenUsed/>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6">
    <w:name w:val="引用 字符"/>
    <w:basedOn w:val="90"/>
    <w:link w:val="135"/>
    <w:autoRedefine/>
    <w:semiHidden/>
    <w:qFormat/>
    <w:uiPriority w:val="99"/>
    <w:rPr>
      <w:rFonts w:ascii="Calibri" w:hAnsi="Calibri"/>
      <w:i/>
      <w:iCs/>
      <w:color w:val="404040" w:themeColor="text1" w:themeTint="BF"/>
      <w:kern w:val="2"/>
      <w:sz w:val="21"/>
      <w:szCs w:val="22"/>
      <w14:textFill>
        <w14:solidFill>
          <w14:schemeClr w14:val="tx1">
            <w14:lumMod w14:val="75000"/>
            <w14:lumOff w14:val="25000"/>
          </w14:schemeClr>
        </w14:solidFill>
      </w14:textFill>
    </w:rPr>
  </w:style>
  <w:style w:type="character" w:customStyle="1" w:styleId="137">
    <w:name w:val="正文文本 2 字符"/>
    <w:basedOn w:val="90"/>
    <w:link w:val="76"/>
    <w:autoRedefine/>
    <w:semiHidden/>
    <w:qFormat/>
    <w:uiPriority w:val="99"/>
    <w:rPr>
      <w:rFonts w:ascii="Calibri" w:hAnsi="Calibri"/>
      <w:kern w:val="2"/>
      <w:sz w:val="21"/>
      <w:szCs w:val="22"/>
    </w:rPr>
  </w:style>
  <w:style w:type="character" w:customStyle="1" w:styleId="138">
    <w:name w:val="正文文本 3 字符"/>
    <w:basedOn w:val="90"/>
    <w:link w:val="31"/>
    <w:autoRedefine/>
    <w:semiHidden/>
    <w:qFormat/>
    <w:uiPriority w:val="99"/>
    <w:rPr>
      <w:rFonts w:ascii="Calibri" w:hAnsi="Calibri"/>
      <w:kern w:val="2"/>
      <w:sz w:val="16"/>
      <w:szCs w:val="16"/>
    </w:rPr>
  </w:style>
  <w:style w:type="character" w:customStyle="1" w:styleId="139">
    <w:name w:val="正文文本 字符"/>
    <w:basedOn w:val="90"/>
    <w:link w:val="34"/>
    <w:autoRedefine/>
    <w:semiHidden/>
    <w:qFormat/>
    <w:uiPriority w:val="0"/>
    <w:rPr>
      <w:rFonts w:ascii="宋体" w:hAnsi="宋体" w:cs="宋体"/>
      <w:kern w:val="2"/>
      <w:sz w:val="35"/>
      <w:szCs w:val="35"/>
      <w:lang w:eastAsia="en-US"/>
    </w:rPr>
  </w:style>
  <w:style w:type="character" w:customStyle="1" w:styleId="140">
    <w:name w:val="正文文本首行缩进 字符"/>
    <w:basedOn w:val="139"/>
    <w:link w:val="86"/>
    <w:autoRedefine/>
    <w:semiHidden/>
    <w:qFormat/>
    <w:uiPriority w:val="99"/>
    <w:rPr>
      <w:rFonts w:ascii="Calibri" w:hAnsi="Calibri" w:cs="宋体"/>
      <w:kern w:val="2"/>
      <w:sz w:val="21"/>
      <w:szCs w:val="22"/>
      <w:lang w:eastAsia="en-US"/>
    </w:rPr>
  </w:style>
  <w:style w:type="character" w:customStyle="1" w:styleId="141">
    <w:name w:val="正文文本缩进 字符"/>
    <w:basedOn w:val="90"/>
    <w:link w:val="35"/>
    <w:autoRedefine/>
    <w:semiHidden/>
    <w:qFormat/>
    <w:uiPriority w:val="99"/>
    <w:rPr>
      <w:rFonts w:ascii="Calibri" w:hAnsi="Calibri"/>
      <w:kern w:val="2"/>
      <w:sz w:val="21"/>
      <w:szCs w:val="22"/>
    </w:rPr>
  </w:style>
  <w:style w:type="character" w:customStyle="1" w:styleId="142">
    <w:name w:val="正文文本首行缩进 2 字符"/>
    <w:basedOn w:val="141"/>
    <w:link w:val="87"/>
    <w:autoRedefine/>
    <w:semiHidden/>
    <w:qFormat/>
    <w:uiPriority w:val="99"/>
    <w:rPr>
      <w:rFonts w:ascii="Calibri" w:hAnsi="Calibri"/>
      <w:kern w:val="2"/>
      <w:sz w:val="21"/>
      <w:szCs w:val="22"/>
    </w:rPr>
  </w:style>
  <w:style w:type="character" w:customStyle="1" w:styleId="143">
    <w:name w:val="正文文本缩进 2 字符"/>
    <w:basedOn w:val="90"/>
    <w:link w:val="51"/>
    <w:autoRedefine/>
    <w:semiHidden/>
    <w:qFormat/>
    <w:uiPriority w:val="99"/>
    <w:rPr>
      <w:rFonts w:ascii="Calibri" w:hAnsi="Calibri"/>
      <w:kern w:val="2"/>
      <w:sz w:val="21"/>
      <w:szCs w:val="22"/>
    </w:rPr>
  </w:style>
  <w:style w:type="character" w:customStyle="1" w:styleId="144">
    <w:name w:val="正文文本缩进 3 字符"/>
    <w:basedOn w:val="90"/>
    <w:link w:val="70"/>
    <w:autoRedefine/>
    <w:semiHidden/>
    <w:qFormat/>
    <w:uiPriority w:val="99"/>
    <w:rPr>
      <w:rFonts w:ascii="Calibri" w:hAnsi="Calibri"/>
      <w:kern w:val="2"/>
      <w:sz w:val="16"/>
      <w:szCs w:val="16"/>
    </w:rPr>
  </w:style>
  <w:style w:type="character" w:customStyle="1" w:styleId="145">
    <w:name w:val="注释标题 字符"/>
    <w:basedOn w:val="90"/>
    <w:link w:val="16"/>
    <w:autoRedefine/>
    <w:semiHidden/>
    <w:qFormat/>
    <w:uiPriority w:val="99"/>
    <w:rPr>
      <w:rFonts w:ascii="Calibri" w:hAnsi="Calibri"/>
      <w:kern w:val="2"/>
      <w:sz w:val="21"/>
      <w:szCs w:val="22"/>
    </w:rPr>
  </w:style>
  <w:style w:type="paragraph" w:customStyle="1" w:styleId="146">
    <w:name w:val="修订5"/>
    <w:autoRedefine/>
    <w:hidden/>
    <w:unhideWhenUsed/>
    <w:qFormat/>
    <w:uiPriority w:val="99"/>
    <w:rPr>
      <w:rFonts w:ascii="Calibri" w:hAnsi="Calibri" w:eastAsia="宋体" w:cs="Times New Roman"/>
      <w:kern w:val="2"/>
      <w:sz w:val="21"/>
      <w:szCs w:val="22"/>
      <w:lang w:val="en-US" w:eastAsia="zh-CN" w:bidi="ar-SA"/>
    </w:rPr>
  </w:style>
  <w:style w:type="character" w:customStyle="1" w:styleId="147">
    <w:name w:val="font11"/>
    <w:basedOn w:val="90"/>
    <w:autoRedefine/>
    <w:qFormat/>
    <w:uiPriority w:val="0"/>
    <w:rPr>
      <w:rFonts w:hint="eastAsia" w:ascii="宋体" w:hAnsi="宋体" w:eastAsia="宋体" w:cs="宋体"/>
      <w:b/>
      <w:bCs/>
      <w:color w:val="000000"/>
      <w:sz w:val="24"/>
      <w:szCs w:val="24"/>
      <w:u w:val="none"/>
    </w:rPr>
  </w:style>
  <w:style w:type="character" w:customStyle="1" w:styleId="148">
    <w:name w:val="font21"/>
    <w:basedOn w:val="90"/>
    <w:autoRedefine/>
    <w:qFormat/>
    <w:uiPriority w:val="0"/>
    <w:rPr>
      <w:rFonts w:hint="eastAsia" w:ascii="宋体" w:hAnsi="宋体" w:eastAsia="宋体" w:cs="宋体"/>
      <w:color w:val="000000"/>
      <w:sz w:val="24"/>
      <w:szCs w:val="24"/>
      <w:u w:val="none"/>
    </w:rPr>
  </w:style>
  <w:style w:type="paragraph" w:customStyle="1" w:styleId="149">
    <w:name w:val="修订6"/>
    <w:autoRedefine/>
    <w:hidden/>
    <w:unhideWhenUsed/>
    <w:qFormat/>
    <w:uiPriority w:val="99"/>
    <w:rPr>
      <w:rFonts w:ascii="Calibri" w:hAnsi="Calibri" w:eastAsia="宋体" w:cs="Times New Roman"/>
      <w:kern w:val="2"/>
      <w:sz w:val="21"/>
      <w:szCs w:val="22"/>
      <w:lang w:val="en-US" w:eastAsia="zh-CN" w:bidi="ar-SA"/>
    </w:rPr>
  </w:style>
  <w:style w:type="paragraph" w:customStyle="1" w:styleId="150">
    <w:name w:val="TOC 标题2"/>
    <w:basedOn w:val="3"/>
    <w:next w:val="1"/>
    <w:autoRedefine/>
    <w:semiHidden/>
    <w:unhideWhenUsed/>
    <w:qFormat/>
    <w:uiPriority w:val="39"/>
    <w:pPr>
      <w:outlineLvl w:val="9"/>
    </w:pPr>
  </w:style>
  <w:style w:type="paragraph" w:customStyle="1" w:styleId="151">
    <w:name w:val="书目2"/>
    <w:basedOn w:val="1"/>
    <w:next w:val="1"/>
    <w:autoRedefine/>
    <w:semiHidden/>
    <w:unhideWhenUsed/>
    <w:qFormat/>
    <w:uiPriority w:val="37"/>
  </w:style>
  <w:style w:type="paragraph" w:customStyle="1" w:styleId="152">
    <w:name w:val="修订7"/>
    <w:autoRedefine/>
    <w:hidden/>
    <w:unhideWhenUsed/>
    <w:qFormat/>
    <w:uiPriority w:val="99"/>
    <w:rPr>
      <w:rFonts w:ascii="Calibri" w:hAnsi="Calibri" w:eastAsia="宋体" w:cs="Times New Roman"/>
      <w:kern w:val="2"/>
      <w:sz w:val="21"/>
      <w:szCs w:val="22"/>
      <w:lang w:val="en-US" w:eastAsia="zh-CN" w:bidi="ar-SA"/>
    </w:rPr>
  </w:style>
  <w:style w:type="paragraph" w:customStyle="1" w:styleId="153">
    <w:name w:val="修订8"/>
    <w:hidden/>
    <w:unhideWhenUsed/>
    <w:qFormat/>
    <w:uiPriority w:val="99"/>
    <w:rPr>
      <w:rFonts w:ascii="Calibri" w:hAnsi="Calibri" w:eastAsia="宋体" w:cs="Times New Roman"/>
      <w:kern w:val="2"/>
      <w:sz w:val="21"/>
      <w:szCs w:val="22"/>
      <w:lang w:val="en-US" w:eastAsia="zh-CN" w:bidi="ar-SA"/>
    </w:rPr>
  </w:style>
  <w:style w:type="paragraph" w:customStyle="1" w:styleId="154">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2374</Words>
  <Characters>2887</Characters>
  <Lines>14</Lines>
  <Paragraphs>3</Paragraphs>
  <TotalTime>3</TotalTime>
  <ScaleCrop>false</ScaleCrop>
  <LinksUpToDate>false</LinksUpToDate>
  <CharactersWithSpaces>2938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2024-08-05T06:16:00Z</dcterms:created>
  <dc:creator>tek</dc:creator>
  <cp:lastModifiedBy>雯亦</cp:lastModifiedBy>
  <dcterms:modified xsi:type="dcterms:W3CDTF">2025-02-06T08:17:36Z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5B5F99E74B614BA8917720D7F68BD631_13</vt:lpwstr>
  </property>
  <property fmtid="{D5CDD505-2E9C-101B-9397-08002B2CF9AE}" pid="4" name="KSOTemplateDocerSaveRecord">
    <vt:lpwstr>eyJoZGlkIjoiZTQzZmRmZDMxMjkwMDE2NTk0ZWQ1ZWYwMzRmYjVhNmUiLCJ1c2VySWQiOiI2NDQwNzQxNTQifQ==</vt:lpwstr>
  </property>
</Properties>
</file>